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72A305">
      <w:pPr>
        <w:spacing w:line="243" w:lineRule="auto"/>
        <w:rPr>
          <w:rFonts w:ascii="Arial"/>
          <w:sz w:val="21"/>
        </w:rPr>
      </w:pPr>
    </w:p>
    <w:p w14:paraId="06B51DFB">
      <w:pPr>
        <w:spacing w:line="243" w:lineRule="auto"/>
        <w:rPr>
          <w:rFonts w:ascii="Arial"/>
          <w:sz w:val="21"/>
        </w:rPr>
      </w:pPr>
    </w:p>
    <w:p w14:paraId="0CA6BF01">
      <w:pPr>
        <w:spacing w:line="243" w:lineRule="auto"/>
        <w:rPr>
          <w:rFonts w:ascii="Arial"/>
          <w:sz w:val="21"/>
        </w:rPr>
      </w:pPr>
    </w:p>
    <w:p w14:paraId="45F70990">
      <w:pPr>
        <w:spacing w:line="243" w:lineRule="auto"/>
        <w:rPr>
          <w:rFonts w:ascii="Arial"/>
          <w:sz w:val="21"/>
        </w:rPr>
      </w:pPr>
    </w:p>
    <w:p w14:paraId="1BD728C7">
      <w:pPr>
        <w:spacing w:line="243" w:lineRule="auto"/>
        <w:rPr>
          <w:rFonts w:ascii="Arial"/>
          <w:sz w:val="21"/>
        </w:rPr>
      </w:pPr>
    </w:p>
    <w:p w14:paraId="7C061337">
      <w:pPr>
        <w:spacing w:line="243" w:lineRule="auto"/>
        <w:rPr>
          <w:rFonts w:ascii="Arial"/>
          <w:sz w:val="21"/>
        </w:rPr>
      </w:pPr>
    </w:p>
    <w:p w14:paraId="1AD62C88">
      <w:pPr>
        <w:spacing w:line="244" w:lineRule="auto"/>
        <w:rPr>
          <w:rFonts w:ascii="Arial"/>
          <w:sz w:val="21"/>
        </w:rPr>
      </w:pPr>
    </w:p>
    <w:p w14:paraId="4A7FB93F">
      <w:pPr>
        <w:spacing w:line="244" w:lineRule="auto"/>
        <w:rPr>
          <w:rFonts w:ascii="Arial"/>
          <w:sz w:val="21"/>
        </w:rPr>
      </w:pPr>
    </w:p>
    <w:p w14:paraId="7514C577">
      <w:pPr>
        <w:spacing w:line="244" w:lineRule="auto"/>
        <w:rPr>
          <w:rFonts w:ascii="Arial"/>
          <w:sz w:val="21"/>
        </w:rPr>
      </w:pPr>
    </w:p>
    <w:p w14:paraId="0B5A3D3C">
      <w:pPr>
        <w:spacing w:before="153" w:line="222" w:lineRule="auto"/>
        <w:jc w:val="center"/>
        <w:rPr>
          <w:rFonts w:ascii="宋体" w:hAnsi="宋体" w:eastAsia="宋体" w:cs="宋体"/>
          <w:sz w:val="47"/>
          <w:szCs w:val="47"/>
        </w:rPr>
      </w:pPr>
      <w:r>
        <w:rPr>
          <w:rFonts w:ascii="宋体" w:hAnsi="宋体" w:eastAsia="宋体" w:cs="宋体"/>
          <w:spacing w:val="16"/>
          <w:sz w:val="47"/>
          <w:szCs w:val="47"/>
          <w14:textOutline w14:w="8717" w14:cap="sq" w14:cmpd="sng">
            <w14:solidFill>
              <w14:srgbClr w14:val="000000"/>
            </w14:solidFill>
            <w14:prstDash w14:val="solid"/>
            <w14:bevel/>
          </w14:textOutline>
        </w:rPr>
        <w:t>《</w:t>
      </w:r>
      <w:bookmarkStart w:id="0" w:name="OLE_LINK1"/>
      <w:r>
        <w:rPr>
          <w:rFonts w:hint="eastAsia" w:ascii="宋体" w:hAnsi="宋体" w:eastAsia="宋体" w:cs="宋体"/>
          <w:spacing w:val="16"/>
          <w:sz w:val="47"/>
          <w:szCs w:val="47"/>
          <w14:textOutline w14:w="8717" w14:cap="sq" w14:cmpd="sng">
            <w14:solidFill>
              <w14:srgbClr w14:val="000000"/>
            </w14:solidFill>
            <w14:prstDash w14:val="solid"/>
            <w14:bevel/>
          </w14:textOutline>
        </w:rPr>
        <w:t>温室气体</w:t>
      </w:r>
      <w:r>
        <w:rPr>
          <w:rFonts w:hint="eastAsia" w:ascii="宋体" w:hAnsi="宋体" w:eastAsia="宋体" w:cs="宋体"/>
          <w:spacing w:val="16"/>
          <w:sz w:val="47"/>
          <w:szCs w:val="47"/>
          <w:lang w:val="en-US" w:eastAsia="zh-CN"/>
          <w14:textOutline w14:w="8717" w14:cap="sq" w14:cmpd="sng">
            <w14:solidFill>
              <w14:srgbClr w14:val="000000"/>
            </w14:solidFill>
            <w14:prstDash w14:val="solid"/>
            <w14:bevel/>
          </w14:textOutline>
        </w:rPr>
        <w:t xml:space="preserve"> </w:t>
      </w:r>
      <w:r>
        <w:rPr>
          <w:rFonts w:hint="eastAsia" w:ascii="宋体" w:hAnsi="宋体" w:eastAsia="宋体" w:cs="宋体"/>
          <w:spacing w:val="16"/>
          <w:sz w:val="47"/>
          <w:szCs w:val="47"/>
          <w14:textOutline w14:w="8717" w14:cap="sq" w14:cmpd="sng">
            <w14:solidFill>
              <w14:srgbClr w14:val="000000"/>
            </w14:solidFill>
            <w14:prstDash w14:val="solid"/>
            <w14:bevel/>
          </w14:textOutline>
        </w:rPr>
        <w:t>产品碳足迹量化方法与要求</w:t>
      </w:r>
      <w:r>
        <w:rPr>
          <w:rFonts w:hint="eastAsia" w:ascii="宋体" w:hAnsi="宋体" w:eastAsia="宋体" w:cs="宋体"/>
          <w:spacing w:val="16"/>
          <w:sz w:val="47"/>
          <w:szCs w:val="47"/>
          <w:lang w:val="en-US" w:eastAsia="zh-CN"/>
          <w14:textOutline w14:w="8717" w14:cap="sq" w14:cmpd="sng">
            <w14:solidFill>
              <w14:srgbClr w14:val="000000"/>
            </w14:solidFill>
            <w14:prstDash w14:val="solid"/>
            <w14:bevel/>
          </w14:textOutline>
        </w:rPr>
        <w:t xml:space="preserve"> </w:t>
      </w:r>
      <w:bookmarkEnd w:id="0"/>
      <w:r>
        <w:rPr>
          <w:rFonts w:hint="eastAsia" w:ascii="宋体" w:hAnsi="宋体" w:eastAsia="宋体" w:cs="宋体"/>
          <w:spacing w:val="16"/>
          <w:sz w:val="47"/>
          <w:szCs w:val="47"/>
          <w:lang w:val="en-US" w:eastAsia="zh-CN"/>
          <w14:textOutline w14:w="8717" w14:cap="sq" w14:cmpd="sng">
            <w14:solidFill>
              <w14:srgbClr w14:val="000000"/>
            </w14:solidFill>
            <w14:prstDash w14:val="solid"/>
            <w14:bevel/>
          </w14:textOutline>
        </w:rPr>
        <w:t>建筑用墙面涂料</w:t>
      </w:r>
      <w:r>
        <w:rPr>
          <w:rFonts w:ascii="宋体" w:hAnsi="宋体" w:eastAsia="宋体" w:cs="宋体"/>
          <w:spacing w:val="8"/>
          <w:sz w:val="47"/>
          <w:szCs w:val="47"/>
          <w14:textOutline w14:w="8717" w14:cap="sq" w14:cmpd="sng">
            <w14:solidFill>
              <w14:srgbClr w14:val="000000"/>
            </w14:solidFill>
            <w14:prstDash w14:val="solid"/>
            <w14:bevel/>
          </w14:textOutline>
        </w:rPr>
        <w:t>》</w:t>
      </w:r>
    </w:p>
    <w:p w14:paraId="334BE3DF">
      <w:pPr>
        <w:spacing w:line="372" w:lineRule="auto"/>
        <w:jc w:val="center"/>
        <w:rPr>
          <w:rFonts w:ascii="Arial"/>
          <w:sz w:val="21"/>
        </w:rPr>
      </w:pPr>
    </w:p>
    <w:p w14:paraId="6D6DB06E">
      <w:pPr>
        <w:spacing w:before="153" w:line="223" w:lineRule="auto"/>
        <w:ind w:left="3251"/>
        <w:rPr>
          <w:rFonts w:ascii="宋体" w:hAnsi="宋体" w:eastAsia="宋体" w:cs="宋体"/>
          <w:sz w:val="47"/>
          <w:szCs w:val="47"/>
        </w:rPr>
      </w:pPr>
      <w:r>
        <w:rPr>
          <w:rFonts w:ascii="宋体" w:hAnsi="宋体" w:eastAsia="宋体" w:cs="宋体"/>
          <w:spacing w:val="7"/>
          <w:sz w:val="47"/>
          <w:szCs w:val="47"/>
          <w14:textOutline w14:w="8717" w14:cap="sq" w14:cmpd="sng">
            <w14:solidFill>
              <w14:srgbClr w14:val="000000"/>
            </w14:solidFill>
            <w14:prstDash w14:val="solid"/>
            <w14:bevel/>
          </w14:textOutline>
        </w:rPr>
        <w:t>编</w:t>
      </w:r>
      <w:r>
        <w:rPr>
          <w:rFonts w:ascii="宋体" w:hAnsi="宋体" w:eastAsia="宋体" w:cs="宋体"/>
          <w:spacing w:val="5"/>
          <w:sz w:val="47"/>
          <w:szCs w:val="47"/>
          <w14:textOutline w14:w="8717" w14:cap="sq" w14:cmpd="sng">
            <w14:solidFill>
              <w14:srgbClr w14:val="000000"/>
            </w14:solidFill>
            <w14:prstDash w14:val="solid"/>
            <w14:bevel/>
          </w14:textOutline>
        </w:rPr>
        <w:t>制说明</w:t>
      </w:r>
    </w:p>
    <w:p w14:paraId="6A751244">
      <w:pPr>
        <w:spacing w:before="101" w:line="226" w:lineRule="auto"/>
        <w:jc w:val="both"/>
        <w:rPr>
          <w:rFonts w:ascii="黑体" w:hAnsi="黑体" w:eastAsia="黑体" w:cs="黑体"/>
          <w:spacing w:val="26"/>
          <w:sz w:val="31"/>
          <w:szCs w:val="31"/>
        </w:rPr>
      </w:pPr>
    </w:p>
    <w:p w14:paraId="0C23E766">
      <w:pPr>
        <w:spacing w:before="101" w:line="226" w:lineRule="auto"/>
        <w:jc w:val="center"/>
        <w:rPr>
          <w:rFonts w:ascii="黑体" w:hAnsi="黑体" w:eastAsia="黑体" w:cs="黑体"/>
          <w:sz w:val="31"/>
          <w:szCs w:val="31"/>
        </w:rPr>
      </w:pPr>
      <w:r>
        <w:rPr>
          <w:rFonts w:ascii="黑体" w:hAnsi="黑体" w:eastAsia="黑体" w:cs="黑体"/>
          <w:spacing w:val="26"/>
          <w:sz w:val="31"/>
          <w:szCs w:val="31"/>
        </w:rPr>
        <w:t>(</w:t>
      </w:r>
      <w:r>
        <w:rPr>
          <w:rFonts w:hint="eastAsia" w:ascii="黑体" w:hAnsi="黑体" w:eastAsia="黑体" w:cs="黑体"/>
          <w:spacing w:val="25"/>
          <w:sz w:val="31"/>
          <w:szCs w:val="31"/>
          <w:lang w:val="en-US" w:eastAsia="zh-CN"/>
        </w:rPr>
        <w:t>征求意见稿</w:t>
      </w:r>
      <w:r>
        <w:rPr>
          <w:rFonts w:ascii="黑体" w:hAnsi="黑体" w:eastAsia="黑体" w:cs="黑体"/>
          <w:spacing w:val="25"/>
          <w:sz w:val="31"/>
          <w:szCs w:val="31"/>
        </w:rPr>
        <w:t>)</w:t>
      </w:r>
    </w:p>
    <w:p w14:paraId="3B31FC1B">
      <w:pPr>
        <w:spacing w:line="242" w:lineRule="auto"/>
        <w:rPr>
          <w:rFonts w:ascii="Arial"/>
          <w:sz w:val="21"/>
        </w:rPr>
      </w:pPr>
    </w:p>
    <w:p w14:paraId="4368981D">
      <w:pPr>
        <w:spacing w:line="242" w:lineRule="auto"/>
        <w:rPr>
          <w:rFonts w:ascii="Arial"/>
          <w:sz w:val="21"/>
        </w:rPr>
      </w:pPr>
    </w:p>
    <w:p w14:paraId="79F5D646">
      <w:pPr>
        <w:spacing w:line="242" w:lineRule="auto"/>
        <w:rPr>
          <w:rFonts w:ascii="Arial"/>
          <w:sz w:val="21"/>
        </w:rPr>
      </w:pPr>
    </w:p>
    <w:p w14:paraId="744CC8C0">
      <w:pPr>
        <w:spacing w:line="242" w:lineRule="auto"/>
        <w:rPr>
          <w:rFonts w:ascii="Arial"/>
          <w:sz w:val="21"/>
        </w:rPr>
      </w:pPr>
    </w:p>
    <w:p w14:paraId="293CC3CE">
      <w:pPr>
        <w:spacing w:line="242" w:lineRule="auto"/>
        <w:rPr>
          <w:rFonts w:ascii="Arial"/>
          <w:sz w:val="21"/>
        </w:rPr>
      </w:pPr>
    </w:p>
    <w:p w14:paraId="3C16F099">
      <w:pPr>
        <w:spacing w:line="242" w:lineRule="auto"/>
        <w:rPr>
          <w:rFonts w:ascii="Arial"/>
          <w:sz w:val="21"/>
        </w:rPr>
      </w:pPr>
    </w:p>
    <w:p w14:paraId="2C8AAED9">
      <w:pPr>
        <w:spacing w:line="242" w:lineRule="auto"/>
        <w:rPr>
          <w:rFonts w:ascii="Arial"/>
          <w:sz w:val="21"/>
        </w:rPr>
      </w:pPr>
    </w:p>
    <w:p w14:paraId="03697997">
      <w:pPr>
        <w:spacing w:line="242" w:lineRule="auto"/>
        <w:rPr>
          <w:rFonts w:ascii="Arial"/>
          <w:sz w:val="21"/>
        </w:rPr>
      </w:pPr>
    </w:p>
    <w:p w14:paraId="7C904262">
      <w:pPr>
        <w:spacing w:line="242" w:lineRule="auto"/>
        <w:rPr>
          <w:rFonts w:ascii="Arial"/>
          <w:sz w:val="21"/>
        </w:rPr>
      </w:pPr>
    </w:p>
    <w:p w14:paraId="5B838AFB">
      <w:pPr>
        <w:spacing w:line="242" w:lineRule="auto"/>
        <w:rPr>
          <w:rFonts w:ascii="Arial"/>
          <w:sz w:val="21"/>
        </w:rPr>
      </w:pPr>
    </w:p>
    <w:p w14:paraId="1A329886">
      <w:pPr>
        <w:spacing w:line="242" w:lineRule="auto"/>
        <w:rPr>
          <w:rFonts w:ascii="Arial"/>
          <w:sz w:val="21"/>
        </w:rPr>
      </w:pPr>
    </w:p>
    <w:p w14:paraId="1CB71D3E">
      <w:pPr>
        <w:spacing w:line="242" w:lineRule="auto"/>
        <w:rPr>
          <w:rFonts w:ascii="Arial"/>
          <w:sz w:val="21"/>
        </w:rPr>
      </w:pPr>
    </w:p>
    <w:p w14:paraId="2C1534B2">
      <w:pPr>
        <w:spacing w:line="242" w:lineRule="auto"/>
        <w:rPr>
          <w:rFonts w:ascii="Arial"/>
          <w:sz w:val="21"/>
        </w:rPr>
      </w:pPr>
    </w:p>
    <w:p w14:paraId="65E3CD2B">
      <w:pPr>
        <w:spacing w:line="242" w:lineRule="auto"/>
        <w:rPr>
          <w:rFonts w:ascii="Arial"/>
          <w:sz w:val="21"/>
        </w:rPr>
      </w:pPr>
    </w:p>
    <w:p w14:paraId="47F65266">
      <w:pPr>
        <w:spacing w:line="242" w:lineRule="auto"/>
        <w:rPr>
          <w:rFonts w:ascii="Arial"/>
          <w:sz w:val="21"/>
        </w:rPr>
      </w:pPr>
    </w:p>
    <w:p w14:paraId="00219A08">
      <w:pPr>
        <w:spacing w:line="242" w:lineRule="auto"/>
        <w:rPr>
          <w:rFonts w:ascii="Arial"/>
          <w:sz w:val="21"/>
        </w:rPr>
      </w:pPr>
    </w:p>
    <w:p w14:paraId="4602200E">
      <w:pPr>
        <w:spacing w:line="242" w:lineRule="auto"/>
        <w:rPr>
          <w:rFonts w:ascii="Arial"/>
          <w:sz w:val="21"/>
        </w:rPr>
      </w:pPr>
    </w:p>
    <w:p w14:paraId="15F9E5F3">
      <w:pPr>
        <w:spacing w:line="242" w:lineRule="auto"/>
        <w:rPr>
          <w:rFonts w:ascii="Arial"/>
          <w:sz w:val="21"/>
        </w:rPr>
      </w:pPr>
    </w:p>
    <w:p w14:paraId="1C4E509B">
      <w:pPr>
        <w:spacing w:line="242" w:lineRule="auto"/>
        <w:rPr>
          <w:rFonts w:ascii="Arial"/>
          <w:sz w:val="21"/>
        </w:rPr>
      </w:pPr>
    </w:p>
    <w:p w14:paraId="2E000F20">
      <w:pPr>
        <w:spacing w:line="242" w:lineRule="auto"/>
        <w:rPr>
          <w:rFonts w:ascii="Arial"/>
          <w:sz w:val="21"/>
        </w:rPr>
      </w:pPr>
    </w:p>
    <w:p w14:paraId="05B2FBE6">
      <w:pPr>
        <w:spacing w:line="242" w:lineRule="auto"/>
        <w:rPr>
          <w:rFonts w:ascii="Arial"/>
          <w:sz w:val="21"/>
        </w:rPr>
      </w:pPr>
    </w:p>
    <w:p w14:paraId="61E235F0">
      <w:pPr>
        <w:spacing w:line="242" w:lineRule="auto"/>
        <w:rPr>
          <w:rFonts w:ascii="Arial"/>
          <w:sz w:val="21"/>
        </w:rPr>
      </w:pPr>
    </w:p>
    <w:p w14:paraId="7ECB8E6E">
      <w:pPr>
        <w:spacing w:line="242" w:lineRule="auto"/>
        <w:rPr>
          <w:rFonts w:ascii="Arial"/>
          <w:sz w:val="21"/>
        </w:rPr>
      </w:pPr>
    </w:p>
    <w:p w14:paraId="4B711BAF">
      <w:pPr>
        <w:spacing w:line="242" w:lineRule="auto"/>
        <w:rPr>
          <w:rFonts w:ascii="Arial"/>
          <w:sz w:val="21"/>
        </w:rPr>
      </w:pPr>
    </w:p>
    <w:p w14:paraId="45511D6F">
      <w:pPr>
        <w:pStyle w:val="2"/>
        <w:rPr>
          <w:rFonts w:ascii="Arial"/>
          <w:sz w:val="21"/>
        </w:rPr>
      </w:pPr>
    </w:p>
    <w:p w14:paraId="0A2C1A48">
      <w:pPr>
        <w:pStyle w:val="2"/>
        <w:rPr>
          <w:rFonts w:ascii="Arial"/>
          <w:sz w:val="21"/>
        </w:rPr>
      </w:pPr>
    </w:p>
    <w:p w14:paraId="17761772">
      <w:pPr>
        <w:pStyle w:val="2"/>
        <w:rPr>
          <w:rFonts w:ascii="Arial"/>
          <w:sz w:val="21"/>
        </w:rPr>
      </w:pPr>
    </w:p>
    <w:p w14:paraId="7DBAC2EF">
      <w:pPr>
        <w:spacing w:line="243" w:lineRule="auto"/>
        <w:rPr>
          <w:rFonts w:ascii="Arial"/>
          <w:sz w:val="21"/>
        </w:rPr>
      </w:pPr>
    </w:p>
    <w:p w14:paraId="323CCCD9">
      <w:pPr>
        <w:spacing w:before="101" w:line="225" w:lineRule="auto"/>
        <w:ind w:left="3081"/>
        <w:rPr>
          <w:rFonts w:ascii="宋体" w:hAnsi="宋体" w:eastAsia="宋体" w:cs="宋体"/>
          <w:sz w:val="31"/>
          <w:szCs w:val="31"/>
        </w:rPr>
      </w:pPr>
      <w:r>
        <w:rPr>
          <w:rFonts w:ascii="宋体" w:hAnsi="宋体" w:eastAsia="宋体" w:cs="宋体"/>
          <w:spacing w:val="9"/>
          <w:sz w:val="31"/>
          <w:szCs w:val="31"/>
          <w14:textOutline w14:w="5793" w14:cap="sq" w14:cmpd="sng">
            <w14:solidFill>
              <w14:srgbClr w14:val="000000"/>
            </w14:solidFill>
            <w14:prstDash w14:val="solid"/>
            <w14:bevel/>
          </w14:textOutline>
        </w:rPr>
        <w:t>标准编制工作</w:t>
      </w:r>
      <w:r>
        <w:rPr>
          <w:rFonts w:ascii="宋体" w:hAnsi="宋体" w:eastAsia="宋体" w:cs="宋体"/>
          <w:spacing w:val="8"/>
          <w:sz w:val="31"/>
          <w:szCs w:val="31"/>
          <w14:textOutline w14:w="5793" w14:cap="sq" w14:cmpd="sng">
            <w14:solidFill>
              <w14:srgbClr w14:val="000000"/>
            </w14:solidFill>
            <w14:prstDash w14:val="solid"/>
            <w14:bevel/>
          </w14:textOutline>
        </w:rPr>
        <w:t>组</w:t>
      </w:r>
    </w:p>
    <w:p w14:paraId="747559F3">
      <w:pPr>
        <w:sectPr>
          <w:footerReference r:id="rId5" w:type="default"/>
          <w:pgSz w:w="11906" w:h="16839"/>
          <w:pgMar w:top="1431" w:right="1763" w:bottom="2166" w:left="1760" w:header="0" w:footer="1788" w:gutter="0"/>
          <w:pgNumType w:fmt="decimal"/>
          <w:cols w:space="720" w:num="1"/>
        </w:sectPr>
      </w:pPr>
    </w:p>
    <w:p w14:paraId="2E1CB6E2">
      <w:pPr>
        <w:spacing w:line="264" w:lineRule="auto"/>
        <w:rPr>
          <w:rFonts w:ascii="Arial"/>
          <w:sz w:val="21"/>
        </w:rPr>
      </w:pPr>
    </w:p>
    <w:p w14:paraId="1D0BD75E">
      <w:pPr>
        <w:spacing w:before="101" w:line="360" w:lineRule="auto"/>
        <w:ind w:left="35"/>
        <w:outlineLvl w:val="1"/>
        <w:rPr>
          <w:rFonts w:hint="default"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一、任务来源及编制背景</w:t>
      </w:r>
    </w:p>
    <w:p w14:paraId="5543FD1F">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1 .1 任务来源</w:t>
      </w:r>
    </w:p>
    <w:p w14:paraId="73953A9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根据《关于下达2023年第一批协会标准制定计划的通知》（中建材联标发[2023]6号）意见，由中国建筑材料联合会技术归口，北京建筑材料检验研究院股份有限公司作为牵头机构起草编制《</w:t>
      </w:r>
      <w:bookmarkStart w:id="1" w:name="OLE_LINK2"/>
      <w:r>
        <w:rPr>
          <w:rFonts w:hint="eastAsia" w:ascii="宋体" w:hAnsi="宋体" w:eastAsia="宋体" w:cs="Times New Roman"/>
          <w:b w:val="0"/>
          <w:bCs w:val="0"/>
          <w:kern w:val="2"/>
          <w:sz w:val="24"/>
          <w:szCs w:val="24"/>
          <w:lang w:val="en-US" w:eastAsia="zh-CN" w:bidi="ar-SA"/>
        </w:rPr>
        <w:t>产品碳足迹 产品种类规则 建筑用墙面涂料</w:t>
      </w:r>
      <w:bookmarkEnd w:id="1"/>
      <w:r>
        <w:rPr>
          <w:rFonts w:hint="eastAsia" w:ascii="宋体" w:hAnsi="宋体" w:eastAsia="宋体" w:cs="Times New Roman"/>
          <w:b w:val="0"/>
          <w:bCs w:val="0"/>
          <w:kern w:val="2"/>
          <w:sz w:val="24"/>
          <w:szCs w:val="24"/>
          <w:lang w:val="en-US" w:eastAsia="zh-CN" w:bidi="ar-SA"/>
        </w:rPr>
        <w:t>》（计划号：2023-11-xbjh）作为团体标准立项，后为与国标通则保持一致，与行业现有碳足迹标准协调，标准名称统一调整为《温室气体 产品碳足迹量化方法与要求 建筑用墙面涂料》。</w:t>
      </w:r>
    </w:p>
    <w:p w14:paraId="6BE51E38">
      <w:pPr>
        <w:spacing w:before="101" w:line="360" w:lineRule="auto"/>
        <w:ind w:left="35"/>
        <w:outlineLvl w:val="1"/>
        <w:rPr>
          <w:rFonts w:hint="default"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1.2 背景和意义</w:t>
      </w:r>
    </w:p>
    <w:p w14:paraId="03CA810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随着社会进步和工业的飞速发展，全球范围内已经出现了一系列环境问题，其中由于二氧化碳引起的全球变暖是最严重的问题之一。温室气体迅速增加，必将对生命系统造成严重威胁。因此为应对气候变化和保护环境，2016年全球178个缔约方共同签署了《巴黎协定》，以推动全球尽早实现减排。2020年9月22日，在第七十五届联合国大会一般性辩论上，“碳中和”被“高亮提及”。习近平主席在会上表示，中国将提高国家自主贡献力度，采取更加有力的政策和措施，二氧化碳排放力争于2030年前达到峰值，努力争取2060年前实现碳中和。当前我国发展处于重要战略机遇，“双碳”目标的提出有助于倒逼中国加快发展方式转型，加快构建绿色低碳经济体系。</w:t>
      </w:r>
    </w:p>
    <w:p w14:paraId="3468A09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全国政协委员、国家卫星气象中心卫星气象研究所所长张兴赢指出，要实现“碳中和”就得先算明白我们到底排放了多少二氧化碳。在全球开展低碳经济的浪潮下，提高资源利用率、衡量生产过程碳排放量己经成为我国企业实现低碳生产、节能减排的主要手段和方法，改变生产工艺，生产绿色低碳的工业产品，是推动低碳经济、低碳生活的关键。</w:t>
      </w:r>
    </w:p>
    <w:p w14:paraId="100B93EF">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产品碳足迹评价是基于生命周期评价的方法对于一个产品系统温室气体排放和吸收的汇总，以二氧化碳当量来表述，被越来越多的企业和政府部门用来衡量产品或个人引起的温室气体排放量，为节能减排策略的制定提供依据。我国开展碳足迹研究相对较晚，尚未形成完善的认证体系，当前大部分产品参照国际标准开展碳足迹评价。随着全球应对气候变化进程不断加快，产品碳足迹评价规范势必成为引领绿色消费的利剑，具有重要的现实意义。</w:t>
      </w:r>
    </w:p>
    <w:p w14:paraId="7426677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化工建材企业作为我国高耗能行业之一，在生产过程中会排放大量的温室气体，这对全球范围内温室效应作用明显。在气候恶化、能源短缺的今天，化工建材生产企业势必成为低碳经济转型的重点关注对象。建筑用墙面涂料产品是化工建材的主要产品之一，由于其在生产过程中采用高耗能的设备，以及部分原材料本身具有较多的碳排量，导致大多数品牌建筑用墙面涂料产品的碳排放居高不下。因此，建筑用墙面涂料全生命周期范围内产生的碳排放对环境的影响不容忽视，政府必将加大此产品的碳减排力度，推进低碳生产转型。</w:t>
      </w:r>
    </w:p>
    <w:p w14:paraId="1DEFD4A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通过对建筑用墙面涂料产品进行碳足迹评价，能够推进国内企业节约资源、发展绿色长效经济。制定《产品碳足迹 产品种类规则 建筑用墙面涂料》标准，能够为企业找到温室气体的关键排放源，帮助企业分析减排潜势，促进企业通过创新改革早日实现经济效益和保护环境的双重目标，走出一条绿色的可持续发展之路。</w:t>
      </w:r>
    </w:p>
    <w:p w14:paraId="1D41C9CA">
      <w:pPr>
        <w:spacing w:before="101" w:line="360" w:lineRule="auto"/>
        <w:ind w:left="35"/>
        <w:outlineLvl w:val="1"/>
        <w:rPr>
          <w:rFonts w:hint="default"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1.3 工作简况</w:t>
      </w:r>
    </w:p>
    <w:p w14:paraId="31DF7F6C">
      <w:pPr>
        <w:spacing w:before="101" w:line="360" w:lineRule="auto"/>
        <w:ind w:left="35"/>
        <w:outlineLvl w:val="1"/>
        <w:rPr>
          <w:rFonts w:ascii="Arial"/>
          <w:sz w:val="21"/>
        </w:rPr>
      </w:pPr>
      <w:r>
        <w:rPr>
          <w:rFonts w:hint="eastAsia" w:ascii="Times New Roman" w:hAnsi="Times New Roman" w:eastAsia="Times New Roman" w:cs="Times New Roman"/>
          <w:b/>
          <w:bCs/>
          <w:spacing w:val="10"/>
          <w:sz w:val="31"/>
          <w:szCs w:val="31"/>
          <w:lang w:val="en-US" w:eastAsia="zh-CN"/>
        </w:rPr>
        <w:t>1.3.1 主要工作过程</w:t>
      </w:r>
    </w:p>
    <w:p w14:paraId="38C0F3B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标准于2023年3月启动组建标准编制组，2023年5月召开标准编制启动会，确定了编制大纲及任务分配；</w:t>
      </w:r>
    </w:p>
    <w:p w14:paraId="31FD9A02">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2023年5月到2023年12月完成了标准数据采集工作，</w:t>
      </w:r>
      <w:r>
        <w:rPr>
          <w:rFonts w:hint="eastAsia" w:ascii="宋体" w:hAnsi="宋体" w:eastAsia="宋体" w:cs="Times New Roman"/>
          <w:b w:val="0"/>
          <w:bCs w:val="0"/>
          <w:color w:val="auto"/>
          <w:kern w:val="2"/>
          <w:sz w:val="24"/>
          <w:szCs w:val="24"/>
          <w:lang w:val="en-US" w:eastAsia="zh-CN" w:bidi="ar-SA"/>
        </w:rPr>
        <w:t>确定了原材料数据库种类和主要能源类别；</w:t>
      </w:r>
    </w:p>
    <w:p w14:paraId="6B3775D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2024年1月-2025年9月编制组组织开展行业调研，指标验证及确认，形成标准草案。</w:t>
      </w:r>
    </w:p>
    <w:p w14:paraId="35078371">
      <w:pPr>
        <w:pStyle w:val="6"/>
        <w:spacing w:before="0" w:after="0" w:line="360" w:lineRule="auto"/>
        <w:ind w:firstLine="480" w:firstLineChars="200"/>
        <w:jc w:val="both"/>
        <w:rPr>
          <w:rFonts w:hint="default"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2025年10月-12月</w:t>
      </w:r>
      <w:bookmarkStart w:id="4" w:name="_GoBack"/>
      <w:bookmarkEnd w:id="4"/>
      <w:r>
        <w:rPr>
          <w:rFonts w:hint="eastAsia" w:ascii="宋体" w:hAnsi="宋体" w:eastAsia="宋体" w:cs="Times New Roman"/>
          <w:b w:val="0"/>
          <w:bCs w:val="0"/>
          <w:kern w:val="2"/>
          <w:sz w:val="24"/>
          <w:szCs w:val="24"/>
          <w:lang w:val="en-US" w:eastAsia="zh-CN" w:bidi="ar-SA"/>
        </w:rPr>
        <w:t>，编制组召开标准研讨会，大家对标准编制的框架、技术指标制定及行业调研数据的搜集结果展开了充分的研讨，形成标准征求意见稿，并完成编制说明。</w:t>
      </w:r>
    </w:p>
    <w:p w14:paraId="2E79C06E">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1.3.2主要参加单位</w:t>
      </w:r>
    </w:p>
    <w:p w14:paraId="4111B3A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本标准由北京建筑材料检验研究院股份有限公司负责项目的组织实施、文件的起草工作，包括起草标准文件、编制说明等，确定数据验证的工作路线、工作内容、方法及验证试验的具体实施单位。参与编制单位北京建筑材料科学研究总院有限公司、大厂金隅涂料有限责任公司、富思特新材料科技发展股份有限公司、青岛盛世嘉华涂料制造有限公司等。</w:t>
      </w:r>
    </w:p>
    <w:p w14:paraId="1AE9C495">
      <w:pPr>
        <w:spacing w:line="360" w:lineRule="auto"/>
        <w:ind w:firstLine="468" w:firstLineChars="200"/>
        <w:jc w:val="left"/>
        <w:rPr>
          <w:rFonts w:hint="default" w:ascii="宋体" w:hAnsi="宋体" w:eastAsia="宋体" w:cs="宋体"/>
          <w:spacing w:val="-3"/>
          <w:sz w:val="24"/>
          <w:szCs w:val="24"/>
          <w:lang w:val="en-US" w:eastAsia="zh-CN"/>
        </w:rPr>
      </w:pPr>
      <w:r>
        <w:rPr>
          <w:rFonts w:hint="default" w:ascii="宋体" w:hAnsi="宋体" w:eastAsia="宋体" w:cs="宋体"/>
          <w:spacing w:val="-3"/>
          <w:sz w:val="24"/>
          <w:szCs w:val="24"/>
          <w:lang w:val="en-US" w:eastAsia="zh-CN"/>
        </w:rPr>
        <w:t>主要参加起草单位具体分工见下表：</w:t>
      </w:r>
    </w:p>
    <w:p w14:paraId="2DEECB30">
      <w:pPr>
        <w:widowControl w:val="0"/>
        <w:kinsoku/>
        <w:autoSpaceDE/>
        <w:autoSpaceDN/>
        <w:adjustRightInd w:val="0"/>
        <w:snapToGrid/>
        <w:spacing w:before="156" w:beforeLines="50" w:line="360" w:lineRule="auto"/>
        <w:jc w:val="center"/>
        <w:textAlignment w:val="auto"/>
        <w:rPr>
          <w:rFonts w:hint="eastAsia" w:ascii="宋体" w:hAnsi="宋体" w:eastAsia="宋体" w:cs="宋体"/>
          <w:snapToGrid/>
          <w:kern w:val="2"/>
          <w:sz w:val="21"/>
          <w:szCs w:val="21"/>
          <w:highlight w:val="none"/>
          <w:lang w:val="en-US" w:eastAsia="zh-CN" w:bidi="ar-SA"/>
        </w:rPr>
      </w:pPr>
    </w:p>
    <w:p w14:paraId="1993BC4A">
      <w:pPr>
        <w:widowControl w:val="0"/>
        <w:kinsoku/>
        <w:autoSpaceDE/>
        <w:autoSpaceDN/>
        <w:adjustRightInd w:val="0"/>
        <w:snapToGrid/>
        <w:spacing w:before="156" w:beforeLines="50" w:line="36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主要参加起草单位分工</w:t>
      </w:r>
    </w:p>
    <w:tbl>
      <w:tblPr>
        <w:tblStyle w:val="7"/>
        <w:tblW w:w="81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00"/>
        <w:gridCol w:w="3999"/>
      </w:tblGrid>
      <w:tr w14:paraId="36924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00" w:type="dxa"/>
            <w:shd w:val="clear" w:color="auto" w:fill="auto"/>
            <w:vAlign w:val="center"/>
          </w:tcPr>
          <w:p w14:paraId="6AED8DFC">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单  位</w:t>
            </w:r>
          </w:p>
        </w:tc>
        <w:tc>
          <w:tcPr>
            <w:tcW w:w="3999" w:type="dxa"/>
            <w:shd w:val="clear" w:color="auto" w:fill="auto"/>
            <w:vAlign w:val="center"/>
          </w:tcPr>
          <w:p w14:paraId="55048BF3">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工作分工</w:t>
            </w:r>
          </w:p>
        </w:tc>
      </w:tr>
      <w:tr w14:paraId="03D8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00" w:type="dxa"/>
            <w:shd w:val="clear" w:color="auto" w:fill="auto"/>
            <w:vAlign w:val="center"/>
          </w:tcPr>
          <w:p w14:paraId="329B0A1C">
            <w:pPr>
              <w:widowControl w:val="0"/>
              <w:kinsoku/>
              <w:autoSpaceDE/>
              <w:autoSpaceDN/>
              <w:adjustRightInd/>
              <w:snapToGrid/>
              <w:spacing w:line="240" w:lineRule="auto"/>
              <w:jc w:val="center"/>
              <w:textAlignment w:val="auto"/>
              <w:rPr>
                <w:rFonts w:hint="eastAsia" w:ascii="宋体" w:hAnsi="宋体" w:eastAsia="宋体" w:cs="宋体"/>
                <w:b w:val="0"/>
                <w:snapToGrid/>
                <w:color w:val="000000"/>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北京建筑材料检验研究院股份有限公司</w:t>
            </w:r>
          </w:p>
        </w:tc>
        <w:tc>
          <w:tcPr>
            <w:tcW w:w="3999" w:type="dxa"/>
            <w:shd w:val="clear" w:color="auto" w:fill="auto"/>
            <w:vAlign w:val="center"/>
          </w:tcPr>
          <w:p w14:paraId="09E192ED">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项目总体统筹、组织实施、标准进展、负责企业调研及验证工作。</w:t>
            </w:r>
          </w:p>
        </w:tc>
      </w:tr>
      <w:tr w14:paraId="7E1B9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00" w:type="dxa"/>
            <w:shd w:val="clear" w:color="auto" w:fill="auto"/>
            <w:vAlign w:val="center"/>
          </w:tcPr>
          <w:p w14:paraId="74822C1C">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北京建筑材料科学研究总院有限公司</w:t>
            </w:r>
          </w:p>
        </w:tc>
        <w:tc>
          <w:tcPr>
            <w:tcW w:w="3999" w:type="dxa"/>
            <w:shd w:val="clear" w:color="auto" w:fill="auto"/>
            <w:vAlign w:val="center"/>
          </w:tcPr>
          <w:p w14:paraId="79DEB1AA">
            <w:pPr>
              <w:widowControl w:val="0"/>
              <w:kinsoku/>
              <w:autoSpaceDE/>
              <w:autoSpaceDN/>
              <w:adjustRightInd/>
              <w:snapToGrid/>
              <w:spacing w:line="240" w:lineRule="auto"/>
              <w:jc w:val="center"/>
              <w:textAlignment w:val="auto"/>
              <w:rPr>
                <w:rFonts w:hint="default"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资源协调及标准建议</w:t>
            </w:r>
          </w:p>
        </w:tc>
      </w:tr>
      <w:tr w14:paraId="4BE17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00" w:type="dxa"/>
            <w:shd w:val="clear" w:color="auto" w:fill="auto"/>
            <w:vAlign w:val="center"/>
          </w:tcPr>
          <w:p w14:paraId="67F17448">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大厂金隅涂料有限责任公司</w:t>
            </w:r>
          </w:p>
        </w:tc>
        <w:tc>
          <w:tcPr>
            <w:tcW w:w="3999" w:type="dxa"/>
            <w:shd w:val="clear" w:color="auto" w:fill="auto"/>
            <w:vAlign w:val="center"/>
          </w:tcPr>
          <w:p w14:paraId="0638D7DA">
            <w:pPr>
              <w:widowControl w:val="0"/>
              <w:kinsoku/>
              <w:autoSpaceDE/>
              <w:autoSpaceDN/>
              <w:adjustRightInd/>
              <w:snapToGrid/>
              <w:spacing w:line="240" w:lineRule="auto"/>
              <w:jc w:val="center"/>
              <w:textAlignment w:val="auto"/>
              <w:rPr>
                <w:rFonts w:hint="default"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生命周期现场数据提供</w:t>
            </w:r>
          </w:p>
        </w:tc>
      </w:tr>
      <w:tr w14:paraId="4DCCA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00" w:type="dxa"/>
            <w:shd w:val="clear" w:color="auto" w:fill="auto"/>
            <w:vAlign w:val="center"/>
          </w:tcPr>
          <w:p w14:paraId="4F818779">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富思特新材料科技发展股份有限公司</w:t>
            </w:r>
          </w:p>
        </w:tc>
        <w:tc>
          <w:tcPr>
            <w:tcW w:w="3999" w:type="dxa"/>
            <w:shd w:val="clear" w:color="auto" w:fill="auto"/>
            <w:vAlign w:val="center"/>
          </w:tcPr>
          <w:p w14:paraId="2F2813CD">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生命周期现场数据提供</w:t>
            </w:r>
          </w:p>
        </w:tc>
      </w:tr>
      <w:tr w14:paraId="6CA88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00" w:type="dxa"/>
            <w:shd w:val="clear" w:color="auto" w:fill="auto"/>
            <w:vAlign w:val="center"/>
          </w:tcPr>
          <w:p w14:paraId="1ADF78A8">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青岛盛世嘉华涂料制造有限公司</w:t>
            </w:r>
          </w:p>
        </w:tc>
        <w:tc>
          <w:tcPr>
            <w:tcW w:w="3999" w:type="dxa"/>
            <w:shd w:val="clear" w:color="auto" w:fill="auto"/>
            <w:vAlign w:val="center"/>
          </w:tcPr>
          <w:p w14:paraId="1BDB45C2">
            <w:pPr>
              <w:widowControl w:val="0"/>
              <w:kinsoku/>
              <w:autoSpaceDE/>
              <w:autoSpaceDN/>
              <w:adjustRightInd/>
              <w:snapToGrid/>
              <w:spacing w:line="240" w:lineRule="auto"/>
              <w:jc w:val="center"/>
              <w:textAlignment w:val="auto"/>
              <w:rPr>
                <w:rFonts w:hint="eastAsia" w:ascii="宋体" w:hAnsi="宋体" w:eastAsia="宋体" w:cs="宋体"/>
                <w:snapToGrid/>
                <w:kern w:val="2"/>
                <w:sz w:val="21"/>
                <w:szCs w:val="21"/>
                <w:highlight w:val="none"/>
                <w:lang w:val="en-US" w:eastAsia="zh-CN" w:bidi="ar-SA"/>
              </w:rPr>
            </w:pPr>
            <w:r>
              <w:rPr>
                <w:rFonts w:hint="eastAsia" w:ascii="宋体" w:hAnsi="宋体" w:eastAsia="宋体" w:cs="宋体"/>
                <w:snapToGrid/>
                <w:kern w:val="2"/>
                <w:sz w:val="21"/>
                <w:szCs w:val="21"/>
                <w:highlight w:val="none"/>
                <w:lang w:val="en-US" w:eastAsia="zh-CN" w:bidi="ar-SA"/>
              </w:rPr>
              <w:t>生命周期现场数据提供</w:t>
            </w:r>
          </w:p>
        </w:tc>
      </w:tr>
    </w:tbl>
    <w:p w14:paraId="514EBAE5">
      <w:pPr>
        <w:rPr>
          <w:rFonts w:hint="eastAsia"/>
          <w:lang w:val="en-US" w:eastAsia="zh-CN"/>
        </w:rPr>
      </w:pPr>
    </w:p>
    <w:p w14:paraId="460E215B">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二、标准编制原则和主要内容</w:t>
      </w:r>
    </w:p>
    <w:p w14:paraId="2C2F7488">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1  标准编制原则和依据</w:t>
      </w:r>
    </w:p>
    <w:p w14:paraId="2F5D111F">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遵循标准编制先进性、科学性、一致性和可行性的原则。在编制 过程中，以 GB/T 1.1-2020《标准化工作导则 第1部分：标准化文件的结构和起草规则》为指导，在符合国家现行法律、法规以及行业政策要求的前提下，广泛调研国内相关行业企业实际生产情况。</w:t>
      </w:r>
    </w:p>
    <w:p w14:paraId="3BEEF567">
      <w:pPr>
        <w:spacing w:before="101" w:line="360" w:lineRule="auto"/>
        <w:ind w:left="35"/>
        <w:outlineLvl w:val="1"/>
        <w:rPr>
          <w:rFonts w:ascii="Arial"/>
          <w:sz w:val="21"/>
        </w:rPr>
      </w:pPr>
      <w:r>
        <w:rPr>
          <w:rFonts w:hint="eastAsia" w:ascii="Times New Roman" w:hAnsi="Times New Roman" w:eastAsia="Times New Roman" w:cs="Times New Roman"/>
          <w:b/>
          <w:bCs/>
          <w:spacing w:val="10"/>
          <w:sz w:val="31"/>
          <w:szCs w:val="31"/>
          <w:lang w:val="en-US" w:eastAsia="zh-CN"/>
        </w:rPr>
        <w:t>2  标准适用范围及主要内容</w:t>
      </w:r>
    </w:p>
    <w:p w14:paraId="4B4F1EDA">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2.1  范围</w:t>
      </w:r>
    </w:p>
    <w:p w14:paraId="316D9B7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本文件规定了建筑用墙面涂料产品碳足迹的量化目的、量化范围、清单分析、影响评价、结果解释、鉴定性评审、可比性、绩效追踪以及报告等内容。</w:t>
      </w:r>
    </w:p>
    <w:p w14:paraId="35B2688F">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本文件适用于建筑用墙面涂料的碳足迹量化与评价。</w:t>
      </w:r>
    </w:p>
    <w:p w14:paraId="5AC80CA9">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2.2  规范性引用文件</w:t>
      </w:r>
    </w:p>
    <w:p w14:paraId="15D46360">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default" w:ascii="Times New Roman" w:hAnsi="Times New Roman" w:eastAsia="宋体" w:cs="Times New Roman"/>
          <w:b w:val="0"/>
          <w:bCs w:val="0"/>
          <w:kern w:val="2"/>
          <w:sz w:val="24"/>
          <w:szCs w:val="24"/>
          <w:lang w:val="en-US" w:eastAsia="zh-CN" w:bidi="ar-SA"/>
        </w:rPr>
        <w:t>本文件主要规范性引用了文件包括GB/T 5206《色漆和清漆 术语和定义》、GB/T 24067-2024《温室气体 产品碳足迹 量化要求和指南》、ISO 14071《Environmental management-Life cycle assessment - Critical review processes and reviewer competencies》等标准。</w:t>
      </w:r>
    </w:p>
    <w:p w14:paraId="5671445E">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2.3  术语和定义</w:t>
      </w:r>
    </w:p>
    <w:p w14:paraId="726318AB">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在充分考虑本标准适用范围以及参考其他相关标准定义的基础上给出本标准的术语和定义。</w:t>
      </w:r>
    </w:p>
    <w:p w14:paraId="4287C52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参考国家现行相关标准，对温室气体、产品碳足迹、产品部分碳足迹、产品碳足迹绩效追踪、全球变暖潜势、二氧化碳当量、温室气体排放量、温室气体清除量、温室气体排放因子、产品系统、共生产品、系统边界、单元过程、功能单位、声明单位、初级数据、现场数据、次级数据等关键性术语作相关定义。</w:t>
      </w:r>
    </w:p>
    <w:p w14:paraId="487C6413">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2.4  量化目的</w:t>
      </w:r>
    </w:p>
    <w:p w14:paraId="705C6C27">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本文件用于量化建筑用墙面涂料产品生命周期或选定阶段的温室气体排放量和清除量（以二氧化碳当量表示），基于本文件开展碳足迹量化的目的包括但不限于以下方面：</w:t>
      </w:r>
    </w:p>
    <w:p w14:paraId="09081F1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a)用于评价产品对气候变化的潜在影响；</w:t>
      </w:r>
    </w:p>
    <w:p w14:paraId="1E0AF2CB">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b)用于生产者与上下游供应链或消费者之间的温室气体排放信息沟通；</w:t>
      </w:r>
    </w:p>
    <w:p w14:paraId="6365D19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c)用于生产者降低产品碳足迹的设计与改进以及同类产品间的对比，其中对比应满足可比性（第10章）的要求。</w:t>
      </w:r>
    </w:p>
    <w:p w14:paraId="2D891CB9">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2.5  量化范围</w:t>
      </w:r>
    </w:p>
    <w:p w14:paraId="5DE10D32">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2.5.1产品描述</w:t>
      </w:r>
    </w:p>
    <w:p w14:paraId="5B92D95F">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依据建筑用墙面涂料对应的产品标准中产品标记进行描述，包括但不限于产品名称、规格型号、产品等级、主要技术参数、生产工艺流程图、用途等信息。</w:t>
      </w:r>
    </w:p>
    <w:p w14:paraId="79B765A9">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2.5.2 系统边界</w:t>
      </w:r>
    </w:p>
    <w:p w14:paraId="076019E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2.5.2.1 建筑用墙面涂料产品碳足迹量化的系统边界如图1所示，产品部分碳足迹至少应涵盖原料获取阶段（A）与产品生产阶段（B）；产品分销阶段（C）、施工使用阶段（D）和生命末期阶段（D）为可选阶段。</w:t>
      </w:r>
    </w:p>
    <w:p w14:paraId="41609A88">
      <w:pPr>
        <w:pStyle w:val="13"/>
        <w:ind w:left="0" w:leftChars="0" w:firstLine="0" w:firstLineChars="0"/>
        <w:jc w:val="center"/>
        <w:rPr>
          <w:rFonts w:hint="eastAsia" w:ascii="宋体" w:hAnsi="宋体" w:eastAsia="宋体" w:cs="宋体"/>
          <w:color w:val="000000"/>
          <w:kern w:val="0"/>
          <w:sz w:val="21"/>
          <w:szCs w:val="21"/>
          <w:lang w:val="en-US" w:eastAsia="zh-CN" w:bidi="ar"/>
        </w:rPr>
      </w:pPr>
      <w:r>
        <w:drawing>
          <wp:inline distT="0" distB="0" distL="114300" distR="114300">
            <wp:extent cx="5906770" cy="3016250"/>
            <wp:effectExtent l="0" t="0" r="17780" b="1270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906770" cy="3016250"/>
                    </a:xfrm>
                    <a:prstGeom prst="rect">
                      <a:avLst/>
                    </a:prstGeom>
                    <a:noFill/>
                    <a:ln>
                      <a:noFill/>
                    </a:ln>
                  </pic:spPr>
                </pic:pic>
              </a:graphicData>
            </a:graphic>
          </wp:inline>
        </w:drawing>
      </w:r>
    </w:p>
    <w:p w14:paraId="1609901F">
      <w:pPr>
        <w:pStyle w:val="13"/>
        <w:ind w:left="0" w:leftChars="0" w:firstLine="0" w:firstLineChars="0"/>
        <w:jc w:val="center"/>
        <w:rPr>
          <w:rFonts w:hint="eastAsia" w:ascii="宋体" w:hAnsi="宋体" w:eastAsia="宋体" w:cs="宋体"/>
          <w:snapToGrid w:val="0"/>
          <w:color w:val="000000"/>
          <w:spacing w:val="12"/>
          <w:kern w:val="0"/>
          <w:sz w:val="28"/>
          <w:szCs w:val="28"/>
        </w:rPr>
      </w:pPr>
      <w:r>
        <w:rPr>
          <w:rFonts w:ascii="Times New Roman"/>
          <w:b/>
          <w:bCs/>
        </w:rPr>
        <w:t>图</w:t>
      </w:r>
      <w:r>
        <w:rPr>
          <w:rFonts w:hint="eastAsia" w:ascii="Times New Roman"/>
          <w:b/>
          <w:bCs/>
          <w:lang w:val="en-US" w:eastAsia="zh-CN"/>
        </w:rPr>
        <w:t>1</w:t>
      </w:r>
      <w:r>
        <w:rPr>
          <w:rFonts w:ascii="Times New Roman"/>
          <w:b/>
          <w:bCs/>
        </w:rPr>
        <w:t xml:space="preserve"> </w:t>
      </w:r>
      <w:r>
        <w:rPr>
          <w:rFonts w:hint="eastAsia" w:ascii="Times New Roman"/>
          <w:b/>
          <w:bCs/>
          <w:lang w:val="en-US" w:eastAsia="zh-CN"/>
        </w:rPr>
        <w:t>建筑用墙面涂料</w:t>
      </w:r>
      <w:r>
        <w:rPr>
          <w:rFonts w:ascii="Times New Roman"/>
          <w:b/>
          <w:bCs/>
        </w:rPr>
        <w:t>碳足迹评价的系统边界图</w:t>
      </w:r>
    </w:p>
    <w:p w14:paraId="71729E1C">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2.5.2.2 原料获取阶段（A），从自然界初级资源提取开始，在原料到达墙面涂料制造工厂时终止，包括：</w:t>
      </w:r>
    </w:p>
    <w:p w14:paraId="273340A9">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a）原料获取（A1）：乳液、助剂、颜填料等原料的开采、加工或生产过程；</w:t>
      </w:r>
    </w:p>
    <w:p w14:paraId="7E02452A">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b）原料运输（A2）：将原料从产地运输到墙面涂料制造工厂的过程。</w:t>
      </w:r>
    </w:p>
    <w:p w14:paraId="18D98355">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2.5.2.3 产品生产阶段（B），从原料运输至墙面涂料制造工厂，在产品生产完成时终止，包括：</w:t>
      </w:r>
    </w:p>
    <w:p w14:paraId="72C1FF42">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产品制造（B1）：墙面涂料的制造过程，包括原料处理、涂料生产、产品包装等全部工序，产品制造使用能源（如柴油、电力、蒸汽、天然气等）的开采、加工或生产、运输、燃烧过程，产品制造产生污染物、固体废物处理过程；</w:t>
      </w:r>
    </w:p>
    <w:p w14:paraId="1E9DBAF2">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b）厂内运输（B2）：原料、能源、产品、固体废物等在工厂内部的运输过程。</w:t>
      </w:r>
    </w:p>
    <w:p w14:paraId="5F286947">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2.5.2.4 产品分销阶段（C），从最终产品离开涂料制造工厂开始，到下游供应商或消费者获得产品并使用时终止，包括：</w:t>
      </w:r>
    </w:p>
    <w:p w14:paraId="0B0AE70D">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a）出厂运输（C1）：产品出厂后运输至交付地点，可沿着供应链将其储存在各点，包括运输车辆的燃料使用等；</w:t>
      </w:r>
    </w:p>
    <w:p w14:paraId="2108A50A">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b）仓储/销售（C2）：产品中间储存、中转及批发与零售过程。</w:t>
      </w:r>
    </w:p>
    <w:p w14:paraId="6C5D7CD0">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2.5.2.5 施工使用阶段（D），始于消费者拥有产品，结束于水性建筑涂料使用过程向环境挥发，包括：</w:t>
      </w:r>
    </w:p>
    <w:p w14:paraId="71FB46A3">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a）产品施工（D1）：将产品安装施工使用到工程的过程；</w:t>
      </w:r>
    </w:p>
    <w:p w14:paraId="7A957903">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b）产品使用（D2）：已施工产品的使用或应用过程，包含与产品正常（预期）使用相关的环境影响，同时应考虑产品的寿命。</w:t>
      </w:r>
    </w:p>
    <w:p w14:paraId="588E00BF">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2.5.2.6 生命末期阶段（E），该阶段始于建筑墙面废弃涂层废弃、拆除，运输到回收处理或处置地点，结束于产品作为固体废弃物处理后进入大自然的生命周期。</w:t>
      </w:r>
    </w:p>
    <w:p w14:paraId="0B9B7D12">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a）废弃涂层拆除</w:t>
      </w:r>
      <w:r>
        <w:rPr>
          <w:rFonts w:hint="default" w:ascii="宋体" w:hAnsi="宋体" w:eastAsia="宋体" w:cs="Times New Roman"/>
          <w:b w:val="0"/>
          <w:bCs w:val="0"/>
          <w:kern w:val="2"/>
          <w:sz w:val="24"/>
          <w:szCs w:val="24"/>
          <w:lang w:val="en-US" w:eastAsia="zh-CN" w:bidi="ar-SA"/>
        </w:rPr>
        <w:t>（E1）</w:t>
      </w:r>
      <w:r>
        <w:rPr>
          <w:rFonts w:hint="eastAsia" w:ascii="宋体" w:hAnsi="宋体" w:eastAsia="宋体" w:cs="Times New Roman"/>
          <w:b w:val="0"/>
          <w:bCs w:val="0"/>
          <w:kern w:val="2"/>
          <w:sz w:val="24"/>
          <w:szCs w:val="24"/>
          <w:lang w:val="en-US" w:eastAsia="zh-CN" w:bidi="ar-SA"/>
        </w:rPr>
        <w:t>：建筑墙面废弃涂层产品从工程中拆除或拆解、筛分；</w:t>
      </w:r>
    </w:p>
    <w:p w14:paraId="4E182D71">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b）废弃产品运输（E2）：将废弃产品运输到回收利用或处置场地；</w:t>
      </w:r>
    </w:p>
    <w:p w14:paraId="14E008AB">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宋体"/>
          <w:spacing w:val="12"/>
          <w:sz w:val="24"/>
          <w:szCs w:val="24"/>
        </w:rPr>
      </w:pPr>
      <w:r>
        <w:rPr>
          <w:rFonts w:hint="eastAsia" w:ascii="宋体" w:hAnsi="宋体" w:eastAsia="宋体" w:cs="Times New Roman"/>
          <w:b w:val="0"/>
          <w:bCs w:val="0"/>
          <w:kern w:val="2"/>
          <w:sz w:val="24"/>
          <w:szCs w:val="24"/>
          <w:lang w:val="en-US" w:eastAsia="zh-CN" w:bidi="ar-SA"/>
        </w:rPr>
        <w:t>c）最终处置与回收利用（E3）：依据相关要求进行废弃产品处置，包括回收利用、焚烧、填埋及相关预处理过程，利用废弃产品进行回收利用、能量回收等过程。</w:t>
      </w:r>
    </w:p>
    <w:p w14:paraId="41524E23">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2.5.3 功能单位</w:t>
      </w:r>
    </w:p>
    <w:p w14:paraId="31C3EDDA">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当系统边界为“A-E”时，应使用功能单位。功能单位应涵盖以下信息：</w:t>
      </w:r>
    </w:p>
    <w:p w14:paraId="0E22AA0C">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——单位数量产品的计量，建筑墙面用涂料为1吨（t）；</w:t>
      </w:r>
    </w:p>
    <w:p w14:paraId="37389997">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——预期用途；</w:t>
      </w:r>
    </w:p>
    <w:p w14:paraId="6E090C88">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——主要性能指标或规格参数（如产品名称、产品执行标准、产品类别、样品等级、适用范围等信息）</w:t>
      </w:r>
    </w:p>
    <w:p w14:paraId="384D774E">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宋体"/>
          <w:spacing w:val="12"/>
          <w:sz w:val="24"/>
          <w:szCs w:val="24"/>
        </w:rPr>
      </w:pPr>
      <w:r>
        <w:rPr>
          <w:rFonts w:hint="eastAsia" w:ascii="宋体" w:hAnsi="宋体" w:eastAsia="宋体" w:cs="Times New Roman"/>
          <w:b w:val="0"/>
          <w:bCs w:val="0"/>
          <w:kern w:val="2"/>
          <w:sz w:val="24"/>
          <w:szCs w:val="24"/>
          <w:lang w:val="en-US" w:eastAsia="zh-CN" w:bidi="ar-SA"/>
        </w:rPr>
        <w:t>示例：1t建筑用内墙涂料，依据GB/T 9755标准规定的面涂优等品，用于建筑内墙基体的装饰保护工程。</w:t>
      </w:r>
    </w:p>
    <w:p w14:paraId="5081F405">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2.5.4 声明单位</w:t>
      </w:r>
    </w:p>
    <w:p w14:paraId="3CB66F46">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当系统边界为“A-B”时，可使用声明单位。声明单位应涵盖以下信息：</w:t>
      </w:r>
    </w:p>
    <w:p w14:paraId="367B7919">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——单位数量产品的计量，建筑墙面用涂料为1吨（t）；</w:t>
      </w:r>
    </w:p>
    <w:p w14:paraId="017218D2">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——产品类别。</w:t>
      </w:r>
    </w:p>
    <w:p w14:paraId="2AF484F6">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示例：生产1t建筑用内墙面涂料。</w:t>
      </w:r>
    </w:p>
    <w:p w14:paraId="20BBA769">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2.5.5 取舍准则</w:t>
      </w:r>
    </w:p>
    <w:p w14:paraId="3F32953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所涉及的物质（能量）数据的取舍应遵循如下准则：</w:t>
      </w:r>
    </w:p>
    <w:p w14:paraId="4D364930">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a）所有的能源输入均需列出，包括使用的含能废弃物；</w:t>
      </w:r>
    </w:p>
    <w:p w14:paraId="32719B9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b）应列出主要的原料及辅料输入，若符合c）和d）要求则可忽略；</w:t>
      </w:r>
    </w:p>
    <w:p w14:paraId="2D1EF45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c）忽略的单项物质（能量）流或单元过程对产品碳足迹的贡献均不应超过1%，如生产设备维修耗材等；</w:t>
      </w:r>
    </w:p>
    <w:p w14:paraId="048998F2">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d）所有忽略的物质（能量）流与单元过程对产品碳足迹贡献总和不超过5%，且应在产品碳足迹报告中予以说明。</w:t>
      </w:r>
    </w:p>
    <w:p w14:paraId="74BFA02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e）道路与厂房等基础设施的建设、各工序设备的制造、厂区内人员及生活设施的消耗和排放，均可忽略。</w:t>
      </w:r>
    </w:p>
    <w:p w14:paraId="4F2BFA02">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2.6 清单分析</w:t>
      </w:r>
    </w:p>
    <w:p w14:paraId="03F3A3F2">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2.6.1 数据的收集和确认</w:t>
      </w:r>
    </w:p>
    <w:p w14:paraId="32D992F9">
      <w:pPr>
        <w:pStyle w:val="6"/>
        <w:keepNext w:val="0"/>
        <w:keepLines w:val="0"/>
        <w:pageBreakBefore w:val="0"/>
        <w:widowControl/>
        <w:kinsoku w:val="0"/>
        <w:wordWrap/>
        <w:overflowPunct/>
        <w:topLinePunct w:val="0"/>
        <w:autoSpaceDE w:val="0"/>
        <w:autoSpaceDN w:val="0"/>
        <w:bidi w:val="0"/>
        <w:adjustRightInd w:val="0"/>
        <w:snapToGrid w:val="0"/>
        <w:spacing w:before="0" w:after="0" w:line="360" w:lineRule="auto"/>
        <w:ind w:firstLine="480" w:firstLineChars="200"/>
        <w:jc w:val="both"/>
        <w:textAlignment w:val="baseline"/>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2.6.1.1 数据的收集应符合表1的要求。</w:t>
      </w:r>
    </w:p>
    <w:p w14:paraId="20411E04">
      <w:pPr>
        <w:pStyle w:val="3"/>
        <w:jc w:val="center"/>
        <w:rPr>
          <w:rFonts w:hint="eastAsia" w:ascii="宋体" w:hAnsi="宋体" w:eastAsia="宋体" w:cs="宋体"/>
          <w:snapToGrid w:val="0"/>
          <w:color w:val="000000"/>
          <w:spacing w:val="12"/>
          <w:kern w:val="0"/>
          <w:sz w:val="21"/>
          <w:szCs w:val="21"/>
        </w:rPr>
      </w:pPr>
      <w:r>
        <w:rPr>
          <w:rFonts w:hint="eastAsia" w:ascii="宋体" w:hAnsi="宋体" w:eastAsia="宋体" w:cs="宋体"/>
          <w:snapToGrid w:val="0"/>
          <w:color w:val="000000"/>
          <w:spacing w:val="12"/>
          <w:kern w:val="0"/>
          <w:sz w:val="21"/>
          <w:szCs w:val="21"/>
        </w:rPr>
        <w:t xml:space="preserve">表1 </w:t>
      </w:r>
      <w:r>
        <w:rPr>
          <w:rFonts w:hint="eastAsia" w:ascii="宋体" w:hAnsi="宋体" w:eastAsia="宋体" w:cs="宋体"/>
          <w:snapToGrid w:val="0"/>
          <w:color w:val="000000"/>
          <w:spacing w:val="12"/>
          <w:kern w:val="0"/>
          <w:sz w:val="21"/>
          <w:szCs w:val="21"/>
          <w:lang w:val="en-US" w:eastAsia="zh-CN"/>
        </w:rPr>
        <w:t xml:space="preserve"> </w:t>
      </w:r>
      <w:r>
        <w:rPr>
          <w:rFonts w:hint="eastAsia" w:ascii="宋体" w:hAnsi="宋体" w:eastAsia="宋体" w:cs="宋体"/>
          <w:snapToGrid w:val="0"/>
          <w:color w:val="000000"/>
          <w:spacing w:val="12"/>
          <w:kern w:val="0"/>
          <w:sz w:val="21"/>
          <w:szCs w:val="21"/>
        </w:rPr>
        <w:t>各阶段数据收集</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2"/>
        <w:gridCol w:w="5475"/>
        <w:gridCol w:w="1665"/>
      </w:tblGrid>
      <w:tr w14:paraId="4AEA9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noWrap w:val="0"/>
            <w:vAlign w:val="center"/>
          </w:tcPr>
          <w:p w14:paraId="266FA5F0">
            <w:pPr>
              <w:pStyle w:val="13"/>
              <w:ind w:firstLine="0" w:firstLineChars="0"/>
              <w:jc w:val="center"/>
              <w:rPr>
                <w:rFonts w:ascii="Times New Roman"/>
                <w:b/>
                <w:bCs/>
                <w:sz w:val="20"/>
                <w:szCs w:val="16"/>
              </w:rPr>
            </w:pPr>
            <w:r>
              <w:rPr>
                <w:rFonts w:ascii="Times New Roman"/>
                <w:b/>
                <w:bCs/>
                <w:sz w:val="20"/>
                <w:szCs w:val="16"/>
              </w:rPr>
              <w:t>所属阶段</w:t>
            </w:r>
          </w:p>
        </w:tc>
        <w:tc>
          <w:tcPr>
            <w:tcW w:w="6207" w:type="dxa"/>
            <w:noWrap w:val="0"/>
            <w:vAlign w:val="center"/>
          </w:tcPr>
          <w:p w14:paraId="5B8C71CD">
            <w:pPr>
              <w:pStyle w:val="13"/>
              <w:ind w:firstLine="0" w:firstLineChars="0"/>
              <w:jc w:val="center"/>
              <w:rPr>
                <w:rFonts w:ascii="Times New Roman"/>
                <w:b/>
                <w:bCs/>
                <w:sz w:val="20"/>
                <w:szCs w:val="16"/>
              </w:rPr>
            </w:pPr>
            <w:r>
              <w:rPr>
                <w:rFonts w:ascii="Times New Roman"/>
                <w:b/>
                <w:bCs/>
                <w:sz w:val="20"/>
                <w:szCs w:val="16"/>
              </w:rPr>
              <w:t>数据种类</w:t>
            </w:r>
          </w:p>
        </w:tc>
        <w:tc>
          <w:tcPr>
            <w:tcW w:w="1853" w:type="dxa"/>
            <w:noWrap w:val="0"/>
            <w:vAlign w:val="center"/>
          </w:tcPr>
          <w:p w14:paraId="424898BB">
            <w:pPr>
              <w:pStyle w:val="13"/>
              <w:ind w:firstLine="0" w:firstLineChars="0"/>
              <w:jc w:val="center"/>
              <w:rPr>
                <w:rFonts w:ascii="Times New Roman"/>
                <w:b/>
                <w:bCs/>
                <w:sz w:val="20"/>
                <w:szCs w:val="16"/>
              </w:rPr>
            </w:pPr>
            <w:r>
              <w:rPr>
                <w:rFonts w:ascii="Times New Roman"/>
                <w:b/>
                <w:bCs/>
                <w:sz w:val="20"/>
                <w:szCs w:val="16"/>
              </w:rPr>
              <w:t>数据类型</w:t>
            </w:r>
          </w:p>
        </w:tc>
      </w:tr>
      <w:tr w14:paraId="4D405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restart"/>
            <w:noWrap w:val="0"/>
            <w:vAlign w:val="center"/>
          </w:tcPr>
          <w:p w14:paraId="3170AF0A">
            <w:pPr>
              <w:pStyle w:val="13"/>
              <w:ind w:firstLine="0" w:firstLineChars="0"/>
              <w:jc w:val="center"/>
              <w:rPr>
                <w:rFonts w:hint="eastAsia" w:ascii="Times New Roman" w:eastAsia="宋体"/>
                <w:sz w:val="20"/>
                <w:szCs w:val="16"/>
                <w:lang w:eastAsia="zh-CN"/>
              </w:rPr>
            </w:pPr>
            <w:r>
              <w:rPr>
                <w:rFonts w:hint="eastAsia" w:ascii="Times New Roman"/>
                <w:sz w:val="20"/>
                <w:szCs w:val="16"/>
              </w:rPr>
              <w:t>原料获取阶段</w:t>
            </w:r>
            <w:r>
              <w:rPr>
                <w:rFonts w:hint="eastAsia" w:ascii="Times New Roman"/>
                <w:sz w:val="20"/>
                <w:szCs w:val="16"/>
                <w:lang w:eastAsia="zh-CN"/>
              </w:rPr>
              <w:t>（</w:t>
            </w:r>
            <w:r>
              <w:rPr>
                <w:rFonts w:hint="eastAsia" w:ascii="Times New Roman"/>
                <w:sz w:val="20"/>
                <w:szCs w:val="16"/>
              </w:rPr>
              <w:t>A</w:t>
            </w:r>
            <w:r>
              <w:rPr>
                <w:rFonts w:hint="eastAsia" w:ascii="Times New Roman"/>
                <w:sz w:val="20"/>
                <w:szCs w:val="16"/>
                <w:lang w:eastAsia="zh-CN"/>
              </w:rPr>
              <w:t>）</w:t>
            </w:r>
          </w:p>
        </w:tc>
        <w:tc>
          <w:tcPr>
            <w:tcW w:w="6207" w:type="dxa"/>
            <w:noWrap w:val="0"/>
            <w:vAlign w:val="center"/>
          </w:tcPr>
          <w:p w14:paraId="645DB1DA">
            <w:pPr>
              <w:pStyle w:val="13"/>
              <w:numPr>
                <w:ilvl w:val="0"/>
                <w:numId w:val="0"/>
              </w:numPr>
              <w:tabs>
                <w:tab w:val="center" w:pos="420"/>
              </w:tabs>
              <w:jc w:val="left"/>
              <w:rPr>
                <w:rFonts w:ascii="Times New Roman"/>
                <w:sz w:val="20"/>
                <w:szCs w:val="20"/>
              </w:rPr>
            </w:pPr>
            <w:r>
              <w:rPr>
                <w:rFonts w:ascii="Times New Roman"/>
                <w:sz w:val="20"/>
                <w:szCs w:val="20"/>
              </w:rPr>
              <w:t>主要原料（如</w:t>
            </w:r>
            <w:r>
              <w:rPr>
                <w:rFonts w:hint="eastAsia" w:ascii="Times New Roman"/>
                <w:sz w:val="20"/>
                <w:szCs w:val="20"/>
                <w:lang w:val="en-US" w:eastAsia="zh-CN"/>
              </w:rPr>
              <w:t>成膜物质、颜填料、水</w:t>
            </w:r>
            <w:r>
              <w:rPr>
                <w:rFonts w:ascii="Times New Roman"/>
                <w:sz w:val="20"/>
                <w:szCs w:val="20"/>
              </w:rPr>
              <w:t>等）</w:t>
            </w:r>
            <w:r>
              <w:rPr>
                <w:rFonts w:hint="eastAsia" w:ascii="Times New Roman"/>
                <w:sz w:val="20"/>
                <w:szCs w:val="20"/>
                <w:lang w:val="en-US" w:eastAsia="zh-CN"/>
              </w:rPr>
              <w:t>获取</w:t>
            </w:r>
            <w:r>
              <w:rPr>
                <w:rFonts w:ascii="Times New Roman"/>
                <w:sz w:val="20"/>
                <w:szCs w:val="20"/>
              </w:rPr>
              <w:t>的温室气体排放因子；</w:t>
            </w:r>
          </w:p>
        </w:tc>
        <w:tc>
          <w:tcPr>
            <w:tcW w:w="1853" w:type="dxa"/>
            <w:noWrap w:val="0"/>
            <w:vAlign w:val="center"/>
          </w:tcPr>
          <w:p w14:paraId="19214B8E">
            <w:pPr>
              <w:pStyle w:val="13"/>
              <w:ind w:firstLine="0" w:firstLineChars="0"/>
              <w:jc w:val="left"/>
              <w:rPr>
                <w:rFonts w:ascii="Times New Roman"/>
                <w:sz w:val="20"/>
                <w:szCs w:val="16"/>
              </w:rPr>
            </w:pPr>
            <w:bookmarkStart w:id="2" w:name="OLE_LINK12"/>
            <w:r>
              <w:rPr>
                <w:rFonts w:ascii="Times New Roman"/>
                <w:sz w:val="20"/>
                <w:szCs w:val="16"/>
              </w:rPr>
              <w:t>宜使用现场数据</w:t>
            </w:r>
            <w:bookmarkEnd w:id="2"/>
          </w:p>
        </w:tc>
      </w:tr>
      <w:tr w14:paraId="5B0AA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4A37C313">
            <w:pPr>
              <w:pStyle w:val="13"/>
              <w:ind w:firstLine="0" w:firstLineChars="0"/>
              <w:jc w:val="center"/>
              <w:rPr>
                <w:rFonts w:ascii="Times New Roman"/>
                <w:sz w:val="20"/>
                <w:szCs w:val="16"/>
              </w:rPr>
            </w:pPr>
          </w:p>
        </w:tc>
        <w:tc>
          <w:tcPr>
            <w:tcW w:w="6207" w:type="dxa"/>
            <w:noWrap w:val="0"/>
            <w:vAlign w:val="center"/>
          </w:tcPr>
          <w:p w14:paraId="7B9E6C63">
            <w:pPr>
              <w:pStyle w:val="13"/>
              <w:numPr>
                <w:ilvl w:val="0"/>
                <w:numId w:val="0"/>
              </w:numPr>
              <w:tabs>
                <w:tab w:val="center" w:pos="420"/>
              </w:tabs>
              <w:jc w:val="left"/>
              <w:rPr>
                <w:rFonts w:ascii="Times New Roman"/>
                <w:sz w:val="20"/>
                <w:szCs w:val="20"/>
              </w:rPr>
            </w:pPr>
            <w:r>
              <w:rPr>
                <w:rFonts w:ascii="Times New Roman"/>
                <w:sz w:val="20"/>
                <w:szCs w:val="20"/>
              </w:rPr>
              <w:t>次要原料（如</w:t>
            </w:r>
            <w:r>
              <w:rPr>
                <w:rFonts w:hint="eastAsia" w:ascii="Times New Roman"/>
                <w:sz w:val="20"/>
                <w:szCs w:val="20"/>
                <w:lang w:val="en-US" w:eastAsia="zh-CN"/>
              </w:rPr>
              <w:t>助剂、其他辅助材料</w:t>
            </w:r>
            <w:r>
              <w:rPr>
                <w:rFonts w:ascii="Times New Roman"/>
                <w:sz w:val="20"/>
                <w:szCs w:val="20"/>
              </w:rPr>
              <w:t>等）</w:t>
            </w:r>
            <w:r>
              <w:rPr>
                <w:rFonts w:hint="eastAsia" w:ascii="Times New Roman"/>
                <w:sz w:val="20"/>
                <w:szCs w:val="20"/>
                <w:lang w:val="en-US" w:eastAsia="zh-CN"/>
              </w:rPr>
              <w:t>获取</w:t>
            </w:r>
            <w:r>
              <w:rPr>
                <w:rFonts w:ascii="Times New Roman"/>
                <w:sz w:val="20"/>
                <w:szCs w:val="20"/>
              </w:rPr>
              <w:t>的温室气体排放因子；</w:t>
            </w:r>
          </w:p>
        </w:tc>
        <w:tc>
          <w:tcPr>
            <w:tcW w:w="1853" w:type="dxa"/>
            <w:noWrap w:val="0"/>
            <w:vAlign w:val="center"/>
          </w:tcPr>
          <w:p w14:paraId="620E13F1">
            <w:pPr>
              <w:pStyle w:val="13"/>
              <w:ind w:firstLine="0" w:firstLineChars="0"/>
              <w:jc w:val="left"/>
              <w:rPr>
                <w:rFonts w:ascii="Times New Roman"/>
                <w:sz w:val="20"/>
                <w:szCs w:val="16"/>
              </w:rPr>
            </w:pPr>
            <w:r>
              <w:rPr>
                <w:rFonts w:ascii="Times New Roman"/>
                <w:sz w:val="20"/>
                <w:szCs w:val="16"/>
              </w:rPr>
              <w:t>可使用次级数据</w:t>
            </w:r>
          </w:p>
        </w:tc>
      </w:tr>
      <w:tr w14:paraId="6379D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5A776B75">
            <w:pPr>
              <w:pStyle w:val="13"/>
              <w:ind w:firstLine="0" w:firstLineChars="0"/>
              <w:jc w:val="center"/>
              <w:rPr>
                <w:rFonts w:ascii="Times New Roman"/>
                <w:sz w:val="20"/>
                <w:szCs w:val="16"/>
              </w:rPr>
            </w:pPr>
          </w:p>
        </w:tc>
        <w:tc>
          <w:tcPr>
            <w:tcW w:w="6207" w:type="dxa"/>
            <w:noWrap w:val="0"/>
            <w:vAlign w:val="center"/>
          </w:tcPr>
          <w:p w14:paraId="35EFB831">
            <w:pPr>
              <w:pStyle w:val="13"/>
              <w:numPr>
                <w:ilvl w:val="0"/>
                <w:numId w:val="0"/>
              </w:numPr>
              <w:tabs>
                <w:tab w:val="center" w:pos="420"/>
              </w:tabs>
              <w:jc w:val="left"/>
              <w:rPr>
                <w:rFonts w:ascii="Times New Roman"/>
                <w:sz w:val="20"/>
                <w:szCs w:val="16"/>
              </w:rPr>
            </w:pPr>
            <w:r>
              <w:rPr>
                <w:rFonts w:hint="eastAsia" w:ascii="Times New Roman"/>
                <w:sz w:val="20"/>
                <w:szCs w:val="20"/>
              </w:rPr>
              <w:t>主要原料与次要</w:t>
            </w:r>
            <w:r>
              <w:rPr>
                <w:rFonts w:ascii="Times New Roman"/>
                <w:sz w:val="20"/>
                <w:szCs w:val="20"/>
              </w:rPr>
              <w:t>原料的运输量、运输距离、运输方式；</w:t>
            </w:r>
          </w:p>
        </w:tc>
        <w:tc>
          <w:tcPr>
            <w:tcW w:w="1853" w:type="dxa"/>
            <w:noWrap w:val="0"/>
            <w:vAlign w:val="center"/>
          </w:tcPr>
          <w:p w14:paraId="378B8F3D">
            <w:pPr>
              <w:pStyle w:val="13"/>
              <w:ind w:firstLine="0" w:firstLineChars="0"/>
              <w:jc w:val="left"/>
              <w:rPr>
                <w:rFonts w:ascii="Times New Roman"/>
                <w:sz w:val="20"/>
                <w:szCs w:val="20"/>
              </w:rPr>
            </w:pPr>
            <w:r>
              <w:rPr>
                <w:rFonts w:ascii="Times New Roman"/>
                <w:sz w:val="20"/>
                <w:szCs w:val="20"/>
              </w:rPr>
              <w:t>应使用</w:t>
            </w:r>
            <w:r>
              <w:rPr>
                <w:rFonts w:ascii="Times New Roman"/>
                <w:sz w:val="20"/>
                <w:szCs w:val="16"/>
              </w:rPr>
              <w:t>现场</w:t>
            </w:r>
            <w:r>
              <w:rPr>
                <w:rFonts w:ascii="Times New Roman"/>
                <w:sz w:val="20"/>
                <w:szCs w:val="20"/>
              </w:rPr>
              <w:t>数据</w:t>
            </w:r>
          </w:p>
        </w:tc>
      </w:tr>
      <w:tr w14:paraId="3A1E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3C4142C8">
            <w:pPr>
              <w:pStyle w:val="13"/>
              <w:ind w:firstLine="0" w:firstLineChars="0"/>
              <w:jc w:val="center"/>
              <w:rPr>
                <w:rFonts w:ascii="Times New Roman"/>
                <w:sz w:val="20"/>
                <w:szCs w:val="16"/>
              </w:rPr>
            </w:pPr>
          </w:p>
        </w:tc>
        <w:tc>
          <w:tcPr>
            <w:tcW w:w="6207" w:type="dxa"/>
            <w:noWrap w:val="0"/>
            <w:vAlign w:val="center"/>
          </w:tcPr>
          <w:p w14:paraId="3E97E851">
            <w:pPr>
              <w:pStyle w:val="13"/>
              <w:numPr>
                <w:ilvl w:val="0"/>
                <w:numId w:val="0"/>
              </w:numPr>
              <w:tabs>
                <w:tab w:val="center" w:pos="420"/>
              </w:tabs>
              <w:jc w:val="left"/>
              <w:rPr>
                <w:rFonts w:ascii="Times New Roman"/>
                <w:sz w:val="20"/>
                <w:szCs w:val="20"/>
              </w:rPr>
            </w:pPr>
            <w:r>
              <w:rPr>
                <w:rFonts w:ascii="Times New Roman"/>
                <w:sz w:val="20"/>
                <w:szCs w:val="20"/>
              </w:rPr>
              <w:t>不同运输方式的温室气体排放因子</w:t>
            </w:r>
            <w:r>
              <w:rPr>
                <w:rFonts w:hint="eastAsia" w:ascii="Times New Roman"/>
                <w:sz w:val="20"/>
                <w:szCs w:val="20"/>
              </w:rPr>
              <w:t>；</w:t>
            </w:r>
          </w:p>
        </w:tc>
        <w:tc>
          <w:tcPr>
            <w:tcW w:w="1853" w:type="dxa"/>
            <w:noWrap w:val="0"/>
            <w:vAlign w:val="center"/>
          </w:tcPr>
          <w:p w14:paraId="0E1B9B02">
            <w:pPr>
              <w:pStyle w:val="13"/>
              <w:ind w:firstLine="0" w:firstLineChars="0"/>
              <w:jc w:val="left"/>
              <w:rPr>
                <w:rFonts w:ascii="Times New Roman"/>
                <w:sz w:val="20"/>
                <w:szCs w:val="20"/>
              </w:rPr>
            </w:pPr>
            <w:r>
              <w:rPr>
                <w:rFonts w:ascii="Times New Roman"/>
                <w:sz w:val="20"/>
                <w:szCs w:val="20"/>
              </w:rPr>
              <w:t>可使用次级数据</w:t>
            </w:r>
          </w:p>
        </w:tc>
      </w:tr>
      <w:tr w14:paraId="5CEB9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restart"/>
            <w:noWrap w:val="0"/>
            <w:vAlign w:val="center"/>
          </w:tcPr>
          <w:p w14:paraId="1921189C">
            <w:pPr>
              <w:pStyle w:val="13"/>
              <w:ind w:firstLine="0" w:firstLineChars="0"/>
              <w:jc w:val="center"/>
              <w:rPr>
                <w:rFonts w:hint="eastAsia" w:ascii="Times New Roman" w:eastAsia="宋体"/>
                <w:sz w:val="20"/>
                <w:szCs w:val="16"/>
                <w:lang w:eastAsia="zh-CN"/>
              </w:rPr>
            </w:pPr>
            <w:r>
              <w:rPr>
                <w:rFonts w:ascii="Times New Roman"/>
                <w:sz w:val="20"/>
                <w:szCs w:val="16"/>
              </w:rPr>
              <w:t>产品生产阶段</w:t>
            </w:r>
            <w:r>
              <w:rPr>
                <w:rFonts w:hint="eastAsia" w:ascii="Times New Roman"/>
                <w:sz w:val="20"/>
                <w:szCs w:val="16"/>
                <w:lang w:eastAsia="zh-CN"/>
              </w:rPr>
              <w:t>（</w:t>
            </w:r>
            <w:r>
              <w:rPr>
                <w:rFonts w:hint="eastAsia" w:ascii="Times New Roman"/>
                <w:sz w:val="20"/>
                <w:szCs w:val="16"/>
              </w:rPr>
              <w:t>B</w:t>
            </w:r>
            <w:r>
              <w:rPr>
                <w:rFonts w:hint="eastAsia" w:ascii="Times New Roman"/>
                <w:sz w:val="20"/>
                <w:szCs w:val="16"/>
                <w:lang w:eastAsia="zh-CN"/>
              </w:rPr>
              <w:t>）</w:t>
            </w:r>
          </w:p>
        </w:tc>
        <w:tc>
          <w:tcPr>
            <w:tcW w:w="6207" w:type="dxa"/>
            <w:noWrap w:val="0"/>
            <w:vAlign w:val="center"/>
          </w:tcPr>
          <w:p w14:paraId="21194F08">
            <w:pPr>
              <w:pStyle w:val="13"/>
              <w:numPr>
                <w:ilvl w:val="0"/>
                <w:numId w:val="0"/>
              </w:numPr>
              <w:tabs>
                <w:tab w:val="center" w:pos="420"/>
              </w:tabs>
              <w:jc w:val="left"/>
              <w:rPr>
                <w:rFonts w:ascii="Times New Roman"/>
                <w:sz w:val="20"/>
                <w:szCs w:val="16"/>
              </w:rPr>
            </w:pPr>
            <w:r>
              <w:rPr>
                <w:rFonts w:ascii="Times New Roman"/>
                <w:sz w:val="20"/>
                <w:szCs w:val="20"/>
              </w:rPr>
              <w:t>主要原料和次要原料的消耗量；</w:t>
            </w:r>
          </w:p>
        </w:tc>
        <w:tc>
          <w:tcPr>
            <w:tcW w:w="1853" w:type="dxa"/>
            <w:noWrap w:val="0"/>
            <w:vAlign w:val="center"/>
          </w:tcPr>
          <w:p w14:paraId="0CA67C1B">
            <w:pPr>
              <w:pStyle w:val="13"/>
              <w:ind w:firstLine="0" w:firstLineChars="0"/>
              <w:jc w:val="left"/>
              <w:rPr>
                <w:rFonts w:ascii="Times New Roman"/>
                <w:sz w:val="20"/>
                <w:szCs w:val="16"/>
              </w:rPr>
            </w:pPr>
            <w:r>
              <w:rPr>
                <w:rFonts w:ascii="Times New Roman"/>
                <w:sz w:val="20"/>
                <w:szCs w:val="20"/>
              </w:rPr>
              <w:t>应使用</w:t>
            </w:r>
            <w:r>
              <w:rPr>
                <w:rFonts w:ascii="Times New Roman"/>
                <w:sz w:val="20"/>
                <w:szCs w:val="16"/>
              </w:rPr>
              <w:t>现场</w:t>
            </w:r>
            <w:r>
              <w:rPr>
                <w:rFonts w:ascii="Times New Roman"/>
                <w:sz w:val="20"/>
                <w:szCs w:val="20"/>
              </w:rPr>
              <w:t>数据</w:t>
            </w:r>
          </w:p>
        </w:tc>
      </w:tr>
      <w:tr w14:paraId="761B9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0218A358">
            <w:pPr>
              <w:pStyle w:val="13"/>
              <w:ind w:firstLine="0" w:firstLineChars="0"/>
              <w:jc w:val="center"/>
              <w:rPr>
                <w:rFonts w:ascii="Times New Roman"/>
                <w:sz w:val="20"/>
                <w:szCs w:val="16"/>
              </w:rPr>
            </w:pPr>
          </w:p>
        </w:tc>
        <w:tc>
          <w:tcPr>
            <w:tcW w:w="6207" w:type="dxa"/>
            <w:noWrap w:val="0"/>
            <w:vAlign w:val="center"/>
          </w:tcPr>
          <w:p w14:paraId="7EB409E7">
            <w:pPr>
              <w:pStyle w:val="13"/>
              <w:numPr>
                <w:ilvl w:val="0"/>
                <w:numId w:val="0"/>
              </w:numPr>
              <w:tabs>
                <w:tab w:val="center" w:pos="420"/>
              </w:tabs>
              <w:jc w:val="left"/>
              <w:rPr>
                <w:rFonts w:ascii="Times New Roman"/>
                <w:sz w:val="20"/>
                <w:szCs w:val="20"/>
              </w:rPr>
            </w:pPr>
            <w:r>
              <w:rPr>
                <w:rFonts w:ascii="Times New Roman"/>
                <w:sz w:val="20"/>
                <w:szCs w:val="20"/>
              </w:rPr>
              <w:t>柴油、电力、蒸汽、天然气等能源（含厂内运输）</w:t>
            </w:r>
            <w:r>
              <w:rPr>
                <w:rFonts w:hint="eastAsia" w:ascii="Times New Roman"/>
                <w:sz w:val="20"/>
                <w:szCs w:val="20"/>
                <w:lang w:val="en-US" w:eastAsia="zh-CN"/>
              </w:rPr>
              <w:t>和物料的</w:t>
            </w:r>
            <w:r>
              <w:rPr>
                <w:rFonts w:ascii="Times New Roman"/>
                <w:sz w:val="20"/>
                <w:szCs w:val="20"/>
              </w:rPr>
              <w:t>消耗量；</w:t>
            </w:r>
          </w:p>
        </w:tc>
        <w:tc>
          <w:tcPr>
            <w:tcW w:w="1853" w:type="dxa"/>
            <w:noWrap w:val="0"/>
            <w:vAlign w:val="center"/>
          </w:tcPr>
          <w:p w14:paraId="68C2A8C7">
            <w:pPr>
              <w:pStyle w:val="13"/>
              <w:ind w:firstLine="0" w:firstLineChars="0"/>
              <w:jc w:val="left"/>
              <w:rPr>
                <w:rFonts w:ascii="Times New Roman"/>
                <w:sz w:val="20"/>
                <w:szCs w:val="16"/>
              </w:rPr>
            </w:pPr>
            <w:r>
              <w:rPr>
                <w:rFonts w:ascii="Times New Roman"/>
                <w:sz w:val="20"/>
                <w:szCs w:val="20"/>
              </w:rPr>
              <w:t>应使用</w:t>
            </w:r>
            <w:r>
              <w:rPr>
                <w:rFonts w:ascii="Times New Roman"/>
                <w:sz w:val="20"/>
                <w:szCs w:val="16"/>
              </w:rPr>
              <w:t>现场</w:t>
            </w:r>
            <w:r>
              <w:rPr>
                <w:rFonts w:ascii="Times New Roman"/>
                <w:sz w:val="20"/>
                <w:szCs w:val="20"/>
              </w:rPr>
              <w:t>数据</w:t>
            </w:r>
          </w:p>
        </w:tc>
      </w:tr>
      <w:tr w14:paraId="36382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044F9B42">
            <w:pPr>
              <w:pStyle w:val="13"/>
              <w:ind w:firstLine="0" w:firstLineChars="0"/>
              <w:jc w:val="center"/>
              <w:rPr>
                <w:rFonts w:ascii="Times New Roman"/>
                <w:sz w:val="20"/>
                <w:szCs w:val="16"/>
              </w:rPr>
            </w:pPr>
            <w:bookmarkStart w:id="3" w:name="OLE_LINK15" w:colFirst="2" w:colLast="2"/>
          </w:p>
        </w:tc>
        <w:tc>
          <w:tcPr>
            <w:tcW w:w="6207" w:type="dxa"/>
            <w:noWrap w:val="0"/>
            <w:vAlign w:val="center"/>
          </w:tcPr>
          <w:p w14:paraId="5D453861">
            <w:pPr>
              <w:pStyle w:val="13"/>
              <w:numPr>
                <w:ilvl w:val="0"/>
                <w:numId w:val="0"/>
              </w:numPr>
              <w:tabs>
                <w:tab w:val="center" w:pos="420"/>
              </w:tabs>
              <w:jc w:val="left"/>
              <w:rPr>
                <w:rFonts w:ascii="Times New Roman"/>
                <w:sz w:val="20"/>
                <w:szCs w:val="20"/>
              </w:rPr>
            </w:pPr>
            <w:r>
              <w:rPr>
                <w:rFonts w:ascii="Times New Roman"/>
                <w:sz w:val="20"/>
                <w:szCs w:val="20"/>
              </w:rPr>
              <w:t>柴油、电力、蒸汽、天然气</w:t>
            </w:r>
            <w:r>
              <w:rPr>
                <w:rFonts w:hint="eastAsia" w:ascii="Times New Roman"/>
                <w:sz w:val="20"/>
                <w:szCs w:val="20"/>
              </w:rPr>
              <w:t>等能源</w:t>
            </w:r>
            <w:r>
              <w:rPr>
                <w:rFonts w:hint="eastAsia" w:ascii="Times New Roman"/>
                <w:sz w:val="20"/>
                <w:szCs w:val="20"/>
                <w:lang w:val="en-US" w:eastAsia="zh-CN"/>
              </w:rPr>
              <w:t>和物料</w:t>
            </w:r>
            <w:r>
              <w:rPr>
                <w:rFonts w:ascii="Times New Roman"/>
                <w:sz w:val="20"/>
                <w:szCs w:val="20"/>
              </w:rPr>
              <w:t>获取的温室气体排放因子；</w:t>
            </w:r>
          </w:p>
        </w:tc>
        <w:tc>
          <w:tcPr>
            <w:tcW w:w="1853" w:type="dxa"/>
            <w:noWrap w:val="0"/>
            <w:vAlign w:val="center"/>
          </w:tcPr>
          <w:p w14:paraId="62E2E70A">
            <w:pPr>
              <w:pStyle w:val="13"/>
              <w:ind w:firstLine="0" w:firstLineChars="0"/>
              <w:jc w:val="left"/>
              <w:rPr>
                <w:rFonts w:ascii="Times New Roman"/>
                <w:sz w:val="20"/>
                <w:szCs w:val="20"/>
              </w:rPr>
            </w:pPr>
            <w:r>
              <w:rPr>
                <w:rFonts w:ascii="Times New Roman"/>
                <w:sz w:val="20"/>
                <w:szCs w:val="16"/>
              </w:rPr>
              <w:t>可使用次级数据</w:t>
            </w:r>
          </w:p>
        </w:tc>
      </w:tr>
      <w:tr w14:paraId="53AA3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3114EF29">
            <w:pPr>
              <w:pStyle w:val="13"/>
              <w:ind w:firstLine="0" w:firstLineChars="0"/>
              <w:jc w:val="center"/>
              <w:rPr>
                <w:rFonts w:ascii="Times New Roman"/>
                <w:sz w:val="20"/>
                <w:szCs w:val="16"/>
              </w:rPr>
            </w:pPr>
          </w:p>
        </w:tc>
        <w:tc>
          <w:tcPr>
            <w:tcW w:w="6207" w:type="dxa"/>
            <w:noWrap w:val="0"/>
            <w:vAlign w:val="center"/>
          </w:tcPr>
          <w:p w14:paraId="46173109">
            <w:pPr>
              <w:pStyle w:val="13"/>
              <w:numPr>
                <w:ilvl w:val="0"/>
                <w:numId w:val="0"/>
              </w:numPr>
              <w:tabs>
                <w:tab w:val="center" w:pos="420"/>
              </w:tabs>
              <w:jc w:val="left"/>
              <w:rPr>
                <w:rFonts w:hint="default" w:ascii="Times New Roman" w:eastAsia="宋体"/>
                <w:sz w:val="20"/>
                <w:szCs w:val="20"/>
                <w:lang w:val="en-US" w:eastAsia="zh-CN"/>
              </w:rPr>
            </w:pPr>
            <w:r>
              <w:rPr>
                <w:rFonts w:hint="eastAsia" w:ascii="Times New Roman"/>
                <w:sz w:val="20"/>
                <w:szCs w:val="20"/>
                <w:highlight w:val="none"/>
                <w:lang w:val="en-US" w:eastAsia="zh-CN"/>
              </w:rPr>
              <w:t>能源和物料</w:t>
            </w:r>
            <w:r>
              <w:rPr>
                <w:rFonts w:hint="eastAsia" w:ascii="Times New Roman"/>
                <w:sz w:val="20"/>
                <w:szCs w:val="20"/>
                <w:lang w:val="en-US" w:eastAsia="zh-CN"/>
              </w:rPr>
              <w:t>的</w:t>
            </w:r>
            <w:r>
              <w:rPr>
                <w:rFonts w:ascii="Times New Roman"/>
                <w:sz w:val="20"/>
                <w:szCs w:val="20"/>
              </w:rPr>
              <w:t>运输量、运输距离、运输方式；</w:t>
            </w:r>
          </w:p>
        </w:tc>
        <w:tc>
          <w:tcPr>
            <w:tcW w:w="1853" w:type="dxa"/>
            <w:noWrap w:val="0"/>
            <w:vAlign w:val="center"/>
          </w:tcPr>
          <w:p w14:paraId="486C371F">
            <w:pPr>
              <w:pStyle w:val="13"/>
              <w:ind w:firstLine="0" w:firstLineChars="0"/>
              <w:jc w:val="left"/>
              <w:rPr>
                <w:rFonts w:ascii="Times New Roman"/>
                <w:sz w:val="20"/>
                <w:szCs w:val="16"/>
              </w:rPr>
            </w:pPr>
            <w:r>
              <w:rPr>
                <w:rFonts w:ascii="Times New Roman"/>
                <w:sz w:val="20"/>
                <w:szCs w:val="20"/>
              </w:rPr>
              <w:t>应使用</w:t>
            </w:r>
            <w:r>
              <w:rPr>
                <w:rFonts w:ascii="Times New Roman"/>
                <w:sz w:val="20"/>
                <w:szCs w:val="16"/>
              </w:rPr>
              <w:t>现场</w:t>
            </w:r>
            <w:r>
              <w:rPr>
                <w:rFonts w:ascii="Times New Roman"/>
                <w:sz w:val="20"/>
                <w:szCs w:val="20"/>
              </w:rPr>
              <w:t>数据</w:t>
            </w:r>
          </w:p>
        </w:tc>
      </w:tr>
      <w:tr w14:paraId="6DAD4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44BA7362">
            <w:pPr>
              <w:pStyle w:val="13"/>
              <w:ind w:firstLine="0" w:firstLineChars="0"/>
              <w:jc w:val="center"/>
              <w:rPr>
                <w:rFonts w:ascii="Times New Roman"/>
                <w:sz w:val="20"/>
                <w:szCs w:val="16"/>
              </w:rPr>
            </w:pPr>
          </w:p>
        </w:tc>
        <w:tc>
          <w:tcPr>
            <w:tcW w:w="6207" w:type="dxa"/>
            <w:noWrap w:val="0"/>
            <w:vAlign w:val="center"/>
          </w:tcPr>
          <w:p w14:paraId="032FD1B9">
            <w:pPr>
              <w:pStyle w:val="13"/>
              <w:numPr>
                <w:ilvl w:val="0"/>
                <w:numId w:val="0"/>
              </w:numPr>
              <w:tabs>
                <w:tab w:val="center" w:pos="420"/>
              </w:tabs>
              <w:ind w:left="0" w:leftChars="0" w:firstLine="0" w:firstLineChars="0"/>
              <w:jc w:val="left"/>
              <w:rPr>
                <w:rFonts w:hint="eastAsia" w:ascii="Times New Roman" w:eastAsia="宋体"/>
                <w:sz w:val="20"/>
                <w:szCs w:val="20"/>
                <w:highlight w:val="none"/>
                <w:lang w:val="en-US" w:eastAsia="zh-CN" w:bidi="ar-SA"/>
              </w:rPr>
            </w:pPr>
            <w:r>
              <w:rPr>
                <w:rFonts w:ascii="Times New Roman"/>
                <w:sz w:val="20"/>
                <w:szCs w:val="20"/>
                <w:highlight w:val="none"/>
              </w:rPr>
              <w:t>不同运输方式的温室气体排放因子</w:t>
            </w:r>
            <w:r>
              <w:rPr>
                <w:rFonts w:hint="eastAsia" w:ascii="Times New Roman"/>
                <w:sz w:val="20"/>
                <w:szCs w:val="20"/>
                <w:highlight w:val="none"/>
                <w:lang w:eastAsia="zh-CN"/>
              </w:rPr>
              <w:t>；</w:t>
            </w:r>
          </w:p>
        </w:tc>
        <w:tc>
          <w:tcPr>
            <w:tcW w:w="1853" w:type="dxa"/>
            <w:noWrap w:val="0"/>
            <w:vAlign w:val="center"/>
          </w:tcPr>
          <w:p w14:paraId="7031236B">
            <w:pPr>
              <w:pStyle w:val="13"/>
              <w:ind w:firstLine="0" w:firstLineChars="0"/>
              <w:jc w:val="left"/>
              <w:rPr>
                <w:rFonts w:ascii="Times New Roman"/>
                <w:sz w:val="20"/>
                <w:szCs w:val="20"/>
                <w:highlight w:val="none"/>
                <w:lang w:val="en-US" w:eastAsia="zh-CN" w:bidi="ar-SA"/>
              </w:rPr>
            </w:pPr>
            <w:r>
              <w:rPr>
                <w:rFonts w:ascii="Times New Roman"/>
                <w:sz w:val="20"/>
                <w:szCs w:val="20"/>
                <w:highlight w:val="none"/>
              </w:rPr>
              <w:t>可使用次级数据</w:t>
            </w:r>
          </w:p>
        </w:tc>
      </w:tr>
      <w:tr w14:paraId="33C29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1426F755">
            <w:pPr>
              <w:pStyle w:val="13"/>
              <w:ind w:firstLine="0" w:firstLineChars="0"/>
              <w:jc w:val="center"/>
              <w:rPr>
                <w:rFonts w:ascii="Times New Roman"/>
                <w:sz w:val="20"/>
                <w:szCs w:val="16"/>
              </w:rPr>
            </w:pPr>
          </w:p>
        </w:tc>
        <w:tc>
          <w:tcPr>
            <w:tcW w:w="6207" w:type="dxa"/>
            <w:noWrap w:val="0"/>
            <w:vAlign w:val="center"/>
          </w:tcPr>
          <w:p w14:paraId="213007BE">
            <w:pPr>
              <w:pStyle w:val="13"/>
              <w:numPr>
                <w:ilvl w:val="0"/>
                <w:numId w:val="0"/>
              </w:numPr>
              <w:tabs>
                <w:tab w:val="center" w:pos="420"/>
              </w:tabs>
              <w:ind w:left="0" w:leftChars="0" w:firstLine="0" w:firstLineChars="0"/>
              <w:jc w:val="left"/>
              <w:rPr>
                <w:rFonts w:hint="eastAsia" w:ascii="Times New Roman"/>
                <w:sz w:val="20"/>
                <w:szCs w:val="20"/>
                <w:lang w:val="en-US" w:eastAsia="zh-CN"/>
              </w:rPr>
            </w:pPr>
            <w:r>
              <w:rPr>
                <w:rFonts w:ascii="Times New Roman"/>
                <w:sz w:val="20"/>
                <w:szCs w:val="20"/>
              </w:rPr>
              <w:t>柴油、天然气等能源燃烧过程的温室气体排放因子；</w:t>
            </w:r>
          </w:p>
        </w:tc>
        <w:tc>
          <w:tcPr>
            <w:tcW w:w="1853" w:type="dxa"/>
            <w:noWrap w:val="0"/>
            <w:vAlign w:val="center"/>
          </w:tcPr>
          <w:p w14:paraId="04084ED4">
            <w:pPr>
              <w:pStyle w:val="13"/>
              <w:ind w:firstLine="0" w:firstLineChars="0"/>
              <w:jc w:val="left"/>
              <w:rPr>
                <w:rFonts w:ascii="Times New Roman"/>
                <w:sz w:val="20"/>
                <w:szCs w:val="20"/>
              </w:rPr>
            </w:pPr>
            <w:r>
              <w:rPr>
                <w:rFonts w:ascii="Times New Roman"/>
                <w:sz w:val="20"/>
                <w:szCs w:val="16"/>
              </w:rPr>
              <w:t>可使用次级数据</w:t>
            </w:r>
          </w:p>
        </w:tc>
      </w:tr>
      <w:tr w14:paraId="784BF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353FDCB9">
            <w:pPr>
              <w:pStyle w:val="13"/>
              <w:ind w:firstLine="0" w:firstLineChars="0"/>
              <w:jc w:val="center"/>
              <w:rPr>
                <w:rFonts w:ascii="Times New Roman"/>
                <w:sz w:val="20"/>
                <w:szCs w:val="16"/>
              </w:rPr>
            </w:pPr>
          </w:p>
        </w:tc>
        <w:tc>
          <w:tcPr>
            <w:tcW w:w="6207" w:type="dxa"/>
            <w:noWrap w:val="0"/>
            <w:vAlign w:val="center"/>
          </w:tcPr>
          <w:p w14:paraId="7089D46A">
            <w:pPr>
              <w:pStyle w:val="13"/>
              <w:numPr>
                <w:ilvl w:val="0"/>
                <w:numId w:val="0"/>
              </w:numPr>
              <w:tabs>
                <w:tab w:val="center" w:pos="420"/>
              </w:tabs>
              <w:jc w:val="left"/>
              <w:rPr>
                <w:rFonts w:hint="eastAsia" w:ascii="Times New Roman"/>
                <w:sz w:val="20"/>
                <w:szCs w:val="20"/>
                <w:lang w:val="en-US" w:eastAsia="zh-CN"/>
              </w:rPr>
            </w:pPr>
            <w:r>
              <w:rPr>
                <w:rFonts w:hint="eastAsia" w:ascii="Times New Roman"/>
                <w:sz w:val="20"/>
                <w:szCs w:val="20"/>
                <w:lang w:val="en-US" w:eastAsia="zh-CN"/>
              </w:rPr>
              <w:t>污染物、固体废物的产生量、处置方式；</w:t>
            </w:r>
          </w:p>
        </w:tc>
        <w:tc>
          <w:tcPr>
            <w:tcW w:w="1853" w:type="dxa"/>
            <w:noWrap w:val="0"/>
            <w:vAlign w:val="center"/>
          </w:tcPr>
          <w:p w14:paraId="12F0A110">
            <w:pPr>
              <w:pStyle w:val="13"/>
              <w:ind w:firstLine="0" w:firstLineChars="0"/>
              <w:jc w:val="left"/>
              <w:rPr>
                <w:rFonts w:ascii="Times New Roman"/>
                <w:sz w:val="20"/>
                <w:szCs w:val="20"/>
              </w:rPr>
            </w:pPr>
            <w:r>
              <w:rPr>
                <w:rFonts w:ascii="Times New Roman"/>
                <w:sz w:val="20"/>
                <w:szCs w:val="20"/>
              </w:rPr>
              <w:t>应使用</w:t>
            </w:r>
            <w:r>
              <w:rPr>
                <w:rFonts w:ascii="Times New Roman"/>
                <w:sz w:val="20"/>
                <w:szCs w:val="16"/>
              </w:rPr>
              <w:t>现场</w:t>
            </w:r>
            <w:r>
              <w:rPr>
                <w:rFonts w:ascii="Times New Roman"/>
                <w:sz w:val="20"/>
                <w:szCs w:val="20"/>
              </w:rPr>
              <w:t>数据</w:t>
            </w:r>
          </w:p>
        </w:tc>
      </w:tr>
      <w:tr w14:paraId="08B66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253844DF">
            <w:pPr>
              <w:pStyle w:val="13"/>
              <w:ind w:firstLine="0" w:firstLineChars="0"/>
              <w:jc w:val="center"/>
              <w:rPr>
                <w:rFonts w:ascii="Times New Roman"/>
                <w:sz w:val="20"/>
                <w:szCs w:val="16"/>
              </w:rPr>
            </w:pPr>
          </w:p>
        </w:tc>
        <w:tc>
          <w:tcPr>
            <w:tcW w:w="6207" w:type="dxa"/>
            <w:noWrap w:val="0"/>
            <w:vAlign w:val="center"/>
          </w:tcPr>
          <w:p w14:paraId="0B85F3C6">
            <w:pPr>
              <w:pStyle w:val="13"/>
              <w:numPr>
                <w:ilvl w:val="0"/>
                <w:numId w:val="0"/>
              </w:numPr>
              <w:tabs>
                <w:tab w:val="center" w:pos="420"/>
              </w:tabs>
              <w:jc w:val="left"/>
              <w:rPr>
                <w:rFonts w:hint="default" w:ascii="Times New Roman"/>
                <w:sz w:val="20"/>
                <w:szCs w:val="20"/>
                <w:lang w:val="en-US"/>
              </w:rPr>
            </w:pPr>
            <w:r>
              <w:rPr>
                <w:rFonts w:hint="eastAsia" w:ascii="Times New Roman"/>
                <w:sz w:val="20"/>
                <w:szCs w:val="20"/>
                <w:lang w:val="en-US" w:eastAsia="zh-CN"/>
              </w:rPr>
              <w:t>污染物、固体废物处置的温室气体排放因子；</w:t>
            </w:r>
          </w:p>
        </w:tc>
        <w:tc>
          <w:tcPr>
            <w:tcW w:w="1853" w:type="dxa"/>
            <w:noWrap w:val="0"/>
            <w:vAlign w:val="center"/>
          </w:tcPr>
          <w:p w14:paraId="176B2519">
            <w:pPr>
              <w:pStyle w:val="13"/>
              <w:ind w:firstLine="0" w:firstLineChars="0"/>
              <w:jc w:val="left"/>
              <w:rPr>
                <w:rFonts w:ascii="Times New Roman"/>
                <w:sz w:val="20"/>
                <w:szCs w:val="20"/>
              </w:rPr>
            </w:pPr>
            <w:r>
              <w:rPr>
                <w:rFonts w:ascii="Times New Roman"/>
                <w:sz w:val="20"/>
                <w:szCs w:val="16"/>
              </w:rPr>
              <w:t>可使用次级数据</w:t>
            </w:r>
          </w:p>
        </w:tc>
      </w:tr>
      <w:tr w14:paraId="489D0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50F7245B">
            <w:pPr>
              <w:pStyle w:val="13"/>
              <w:ind w:firstLine="0" w:firstLineChars="0"/>
              <w:jc w:val="center"/>
              <w:rPr>
                <w:rFonts w:ascii="Times New Roman"/>
                <w:sz w:val="20"/>
                <w:szCs w:val="16"/>
              </w:rPr>
            </w:pPr>
          </w:p>
        </w:tc>
        <w:tc>
          <w:tcPr>
            <w:tcW w:w="6207" w:type="dxa"/>
            <w:noWrap w:val="0"/>
            <w:vAlign w:val="center"/>
          </w:tcPr>
          <w:p w14:paraId="5E6C8F05">
            <w:pPr>
              <w:pStyle w:val="13"/>
              <w:tabs>
                <w:tab w:val="center" w:pos="420"/>
              </w:tabs>
              <w:ind w:firstLine="0" w:firstLineChars="0"/>
              <w:jc w:val="left"/>
              <w:rPr>
                <w:rFonts w:hint="default" w:ascii="Times New Roman" w:eastAsia="宋体"/>
                <w:iCs/>
                <w:sz w:val="20"/>
                <w:szCs w:val="16"/>
                <w:lang w:val="en-US" w:eastAsia="zh-CN"/>
              </w:rPr>
            </w:pPr>
            <w:r>
              <w:rPr>
                <w:rFonts w:hint="eastAsia" w:ascii="Times New Roman"/>
                <w:iCs/>
                <w:color w:val="auto"/>
                <w:sz w:val="20"/>
                <w:szCs w:val="16"/>
                <w:lang w:val="en-US" w:eastAsia="zh-CN"/>
              </w:rPr>
              <w:t>包装材料的种类、消耗量、取得方式、产地、运输距离、运输方式；</w:t>
            </w:r>
          </w:p>
        </w:tc>
        <w:tc>
          <w:tcPr>
            <w:tcW w:w="1853" w:type="dxa"/>
            <w:noWrap w:val="0"/>
            <w:vAlign w:val="center"/>
          </w:tcPr>
          <w:p w14:paraId="635D7EEA">
            <w:pPr>
              <w:pStyle w:val="13"/>
              <w:ind w:firstLine="0" w:firstLineChars="0"/>
              <w:jc w:val="left"/>
              <w:rPr>
                <w:rFonts w:ascii="Times New Roman"/>
                <w:sz w:val="20"/>
                <w:szCs w:val="16"/>
              </w:rPr>
            </w:pPr>
            <w:r>
              <w:rPr>
                <w:rFonts w:ascii="Times New Roman"/>
                <w:sz w:val="20"/>
                <w:szCs w:val="20"/>
              </w:rPr>
              <w:t>应使用</w:t>
            </w:r>
            <w:r>
              <w:rPr>
                <w:rFonts w:ascii="Times New Roman"/>
                <w:sz w:val="20"/>
                <w:szCs w:val="16"/>
              </w:rPr>
              <w:t>现场</w:t>
            </w:r>
            <w:r>
              <w:rPr>
                <w:rFonts w:ascii="Times New Roman"/>
                <w:sz w:val="20"/>
                <w:szCs w:val="20"/>
              </w:rPr>
              <w:t>数据</w:t>
            </w:r>
          </w:p>
        </w:tc>
      </w:tr>
      <w:bookmarkEnd w:id="3"/>
      <w:tr w14:paraId="048A9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restart"/>
            <w:noWrap w:val="0"/>
            <w:vAlign w:val="center"/>
          </w:tcPr>
          <w:p w14:paraId="200DE4FA">
            <w:pPr>
              <w:pStyle w:val="13"/>
              <w:ind w:firstLine="0" w:firstLineChars="0"/>
              <w:jc w:val="center"/>
              <w:rPr>
                <w:rFonts w:hint="eastAsia" w:ascii="Times New Roman" w:eastAsia="宋体"/>
                <w:sz w:val="20"/>
                <w:szCs w:val="16"/>
                <w:lang w:eastAsia="zh-CN"/>
              </w:rPr>
            </w:pPr>
            <w:r>
              <w:rPr>
                <w:rFonts w:ascii="Times New Roman"/>
                <w:sz w:val="20"/>
                <w:szCs w:val="16"/>
              </w:rPr>
              <w:t>产品</w:t>
            </w:r>
            <w:r>
              <w:rPr>
                <w:rFonts w:hint="eastAsia" w:ascii="Times New Roman"/>
                <w:sz w:val="20"/>
                <w:szCs w:val="16"/>
                <w:lang w:val="en-US" w:eastAsia="zh-CN"/>
              </w:rPr>
              <w:t>分销</w:t>
            </w:r>
            <w:r>
              <w:rPr>
                <w:rFonts w:ascii="Times New Roman"/>
                <w:sz w:val="20"/>
                <w:szCs w:val="16"/>
              </w:rPr>
              <w:t>阶段</w:t>
            </w:r>
            <w:r>
              <w:rPr>
                <w:rFonts w:hint="eastAsia" w:ascii="Times New Roman"/>
                <w:sz w:val="20"/>
                <w:szCs w:val="16"/>
                <w:lang w:eastAsia="zh-CN"/>
              </w:rPr>
              <w:t>（</w:t>
            </w:r>
            <w:r>
              <w:rPr>
                <w:rFonts w:ascii="Times New Roman"/>
                <w:sz w:val="20"/>
                <w:szCs w:val="16"/>
              </w:rPr>
              <w:t>C</w:t>
            </w:r>
            <w:r>
              <w:rPr>
                <w:rFonts w:hint="eastAsia" w:ascii="Times New Roman"/>
                <w:sz w:val="20"/>
                <w:szCs w:val="16"/>
                <w:lang w:eastAsia="zh-CN"/>
              </w:rPr>
              <w:t>）</w:t>
            </w:r>
          </w:p>
        </w:tc>
        <w:tc>
          <w:tcPr>
            <w:tcW w:w="6207" w:type="dxa"/>
            <w:noWrap w:val="0"/>
            <w:vAlign w:val="center"/>
          </w:tcPr>
          <w:p w14:paraId="77A9B7A4">
            <w:pPr>
              <w:pStyle w:val="13"/>
              <w:tabs>
                <w:tab w:val="center" w:pos="420"/>
              </w:tabs>
              <w:ind w:firstLine="0" w:firstLineChars="0"/>
              <w:jc w:val="left"/>
              <w:rPr>
                <w:rFonts w:ascii="Times New Roman"/>
                <w:sz w:val="20"/>
                <w:szCs w:val="20"/>
              </w:rPr>
            </w:pPr>
            <w:r>
              <w:rPr>
                <w:rFonts w:ascii="Times New Roman"/>
                <w:iCs/>
                <w:sz w:val="20"/>
                <w:szCs w:val="16"/>
              </w:rPr>
              <w:t>产品运输至使用者所在地的</w:t>
            </w:r>
            <w:r>
              <w:rPr>
                <w:rFonts w:hint="eastAsia" w:ascii="Times New Roman"/>
                <w:iCs/>
                <w:sz w:val="20"/>
                <w:szCs w:val="16"/>
                <w:lang w:val="en-US" w:eastAsia="zh-CN"/>
              </w:rPr>
              <w:t>运输量、</w:t>
            </w:r>
            <w:r>
              <w:rPr>
                <w:rFonts w:ascii="Times New Roman"/>
                <w:iCs/>
                <w:sz w:val="20"/>
                <w:szCs w:val="16"/>
              </w:rPr>
              <w:t>运输距离</w:t>
            </w:r>
            <w:r>
              <w:rPr>
                <w:rFonts w:hint="eastAsia" w:ascii="Times New Roman"/>
                <w:iCs/>
                <w:sz w:val="20"/>
                <w:szCs w:val="16"/>
                <w:lang w:eastAsia="zh-CN"/>
              </w:rPr>
              <w:t>、</w:t>
            </w:r>
            <w:r>
              <w:rPr>
                <w:rFonts w:ascii="Times New Roman"/>
                <w:iCs/>
                <w:sz w:val="20"/>
                <w:szCs w:val="16"/>
              </w:rPr>
              <w:t>运输方式；</w:t>
            </w:r>
          </w:p>
        </w:tc>
        <w:tc>
          <w:tcPr>
            <w:tcW w:w="1853" w:type="dxa"/>
            <w:noWrap w:val="0"/>
            <w:vAlign w:val="center"/>
          </w:tcPr>
          <w:p w14:paraId="534E7695">
            <w:pPr>
              <w:pStyle w:val="13"/>
              <w:ind w:firstLine="0" w:firstLineChars="0"/>
              <w:jc w:val="left"/>
              <w:rPr>
                <w:rFonts w:ascii="Times New Roman"/>
                <w:sz w:val="20"/>
                <w:szCs w:val="20"/>
              </w:rPr>
            </w:pPr>
            <w:r>
              <w:rPr>
                <w:rFonts w:ascii="Times New Roman"/>
                <w:sz w:val="20"/>
                <w:szCs w:val="16"/>
              </w:rPr>
              <w:t>宜使用初级数据</w:t>
            </w:r>
          </w:p>
        </w:tc>
      </w:tr>
      <w:tr w14:paraId="6F3C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0EC6A50A">
            <w:pPr>
              <w:pStyle w:val="13"/>
              <w:ind w:firstLine="0" w:firstLineChars="0"/>
              <w:jc w:val="center"/>
              <w:rPr>
                <w:rFonts w:ascii="Times New Roman"/>
                <w:sz w:val="20"/>
                <w:szCs w:val="20"/>
              </w:rPr>
            </w:pPr>
          </w:p>
        </w:tc>
        <w:tc>
          <w:tcPr>
            <w:tcW w:w="6207" w:type="dxa"/>
            <w:noWrap w:val="0"/>
            <w:vAlign w:val="center"/>
          </w:tcPr>
          <w:p w14:paraId="0322565B">
            <w:pPr>
              <w:pStyle w:val="13"/>
              <w:tabs>
                <w:tab w:val="center" w:pos="420"/>
              </w:tabs>
              <w:ind w:firstLine="0" w:firstLineChars="0"/>
              <w:jc w:val="left"/>
              <w:rPr>
                <w:rFonts w:hint="eastAsia" w:ascii="Times New Roman" w:eastAsia="宋体"/>
                <w:sz w:val="20"/>
                <w:szCs w:val="20"/>
                <w:lang w:eastAsia="zh-CN"/>
              </w:rPr>
            </w:pPr>
            <w:r>
              <w:rPr>
                <w:rFonts w:ascii="Times New Roman"/>
                <w:sz w:val="20"/>
                <w:szCs w:val="20"/>
                <w:highlight w:val="none"/>
              </w:rPr>
              <w:t>不同运输方式的温室气体排放因子</w:t>
            </w:r>
            <w:r>
              <w:rPr>
                <w:rFonts w:hint="eastAsia" w:ascii="Times New Roman"/>
                <w:sz w:val="20"/>
                <w:szCs w:val="20"/>
                <w:highlight w:val="none"/>
                <w:lang w:eastAsia="zh-CN"/>
              </w:rPr>
              <w:t>；</w:t>
            </w:r>
          </w:p>
        </w:tc>
        <w:tc>
          <w:tcPr>
            <w:tcW w:w="1853" w:type="dxa"/>
            <w:noWrap w:val="0"/>
            <w:vAlign w:val="center"/>
          </w:tcPr>
          <w:p w14:paraId="3459DA46">
            <w:pPr>
              <w:pStyle w:val="13"/>
              <w:ind w:firstLine="0" w:firstLineChars="0"/>
              <w:jc w:val="left"/>
              <w:rPr>
                <w:rFonts w:ascii="Times New Roman"/>
                <w:sz w:val="20"/>
                <w:szCs w:val="16"/>
              </w:rPr>
            </w:pPr>
            <w:r>
              <w:rPr>
                <w:rFonts w:ascii="Times New Roman"/>
                <w:sz w:val="20"/>
                <w:szCs w:val="20"/>
                <w:highlight w:val="none"/>
              </w:rPr>
              <w:t>可使用次级数据</w:t>
            </w:r>
          </w:p>
        </w:tc>
      </w:tr>
      <w:tr w14:paraId="54A63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1F01703E">
            <w:pPr>
              <w:pStyle w:val="13"/>
              <w:ind w:firstLine="0" w:firstLineChars="0"/>
              <w:jc w:val="center"/>
              <w:rPr>
                <w:rFonts w:ascii="Times New Roman"/>
                <w:sz w:val="20"/>
                <w:szCs w:val="20"/>
              </w:rPr>
            </w:pPr>
          </w:p>
        </w:tc>
        <w:tc>
          <w:tcPr>
            <w:tcW w:w="6207" w:type="dxa"/>
            <w:noWrap w:val="0"/>
            <w:vAlign w:val="center"/>
          </w:tcPr>
          <w:p w14:paraId="4E7C85D8">
            <w:pPr>
              <w:pStyle w:val="13"/>
              <w:tabs>
                <w:tab w:val="center" w:pos="420"/>
              </w:tabs>
              <w:ind w:firstLine="0" w:firstLineChars="0"/>
              <w:jc w:val="left"/>
              <w:rPr>
                <w:rFonts w:ascii="Times New Roman"/>
                <w:sz w:val="20"/>
                <w:szCs w:val="16"/>
              </w:rPr>
            </w:pPr>
            <w:r>
              <w:rPr>
                <w:rFonts w:ascii="Times New Roman"/>
                <w:sz w:val="20"/>
                <w:szCs w:val="20"/>
              </w:rPr>
              <w:t>产品分销过程所用</w:t>
            </w:r>
            <w:r>
              <w:rPr>
                <w:rFonts w:hint="eastAsia" w:ascii="Times New Roman"/>
                <w:sz w:val="20"/>
                <w:szCs w:val="20"/>
                <w:lang w:val="en-US" w:eastAsia="zh-CN"/>
              </w:rPr>
              <w:t>能源和物料</w:t>
            </w:r>
            <w:r>
              <w:rPr>
                <w:rFonts w:ascii="Times New Roman"/>
                <w:sz w:val="20"/>
                <w:szCs w:val="20"/>
              </w:rPr>
              <w:t>的消耗</w:t>
            </w:r>
            <w:r>
              <w:rPr>
                <w:rFonts w:hint="eastAsia" w:ascii="Times New Roman"/>
                <w:sz w:val="20"/>
                <w:szCs w:val="20"/>
                <w:lang w:val="en-US" w:eastAsia="zh-CN"/>
              </w:rPr>
              <w:t>量</w:t>
            </w:r>
            <w:r>
              <w:rPr>
                <w:rFonts w:ascii="Times New Roman"/>
                <w:sz w:val="20"/>
                <w:szCs w:val="20"/>
              </w:rPr>
              <w:t>；</w:t>
            </w:r>
          </w:p>
        </w:tc>
        <w:tc>
          <w:tcPr>
            <w:tcW w:w="1853" w:type="dxa"/>
            <w:noWrap w:val="0"/>
            <w:vAlign w:val="center"/>
          </w:tcPr>
          <w:p w14:paraId="4804B1DF">
            <w:pPr>
              <w:pStyle w:val="13"/>
              <w:ind w:firstLine="0" w:firstLineChars="0"/>
              <w:jc w:val="left"/>
              <w:rPr>
                <w:rFonts w:ascii="Times New Roman"/>
                <w:sz w:val="20"/>
                <w:szCs w:val="20"/>
              </w:rPr>
            </w:pPr>
            <w:r>
              <w:rPr>
                <w:rFonts w:ascii="Times New Roman"/>
                <w:sz w:val="20"/>
                <w:szCs w:val="16"/>
              </w:rPr>
              <w:t>可使用次级数据</w:t>
            </w:r>
          </w:p>
        </w:tc>
      </w:tr>
      <w:tr w14:paraId="4E766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0A9F6B7B">
            <w:pPr>
              <w:pStyle w:val="13"/>
              <w:ind w:firstLine="0" w:firstLineChars="0"/>
              <w:jc w:val="center"/>
              <w:rPr>
                <w:rFonts w:ascii="Times New Roman"/>
                <w:sz w:val="20"/>
                <w:szCs w:val="20"/>
              </w:rPr>
            </w:pPr>
          </w:p>
        </w:tc>
        <w:tc>
          <w:tcPr>
            <w:tcW w:w="6207" w:type="dxa"/>
            <w:noWrap w:val="0"/>
            <w:vAlign w:val="center"/>
          </w:tcPr>
          <w:p w14:paraId="6C431781">
            <w:pPr>
              <w:pStyle w:val="13"/>
              <w:tabs>
                <w:tab w:val="center" w:pos="420"/>
              </w:tabs>
              <w:ind w:firstLine="0" w:firstLineChars="0"/>
              <w:jc w:val="left"/>
              <w:rPr>
                <w:rFonts w:ascii="Times New Roman"/>
                <w:sz w:val="20"/>
                <w:szCs w:val="20"/>
                <w:highlight w:val="none"/>
                <w:lang w:val="en-US" w:eastAsia="zh-CN" w:bidi="ar-SA"/>
              </w:rPr>
            </w:pPr>
            <w:r>
              <w:rPr>
                <w:rFonts w:ascii="Times New Roman"/>
                <w:sz w:val="20"/>
                <w:szCs w:val="20"/>
                <w:highlight w:val="none"/>
              </w:rPr>
              <w:t>产品分销</w:t>
            </w:r>
            <w:r>
              <w:rPr>
                <w:rFonts w:hint="eastAsia" w:ascii="Times New Roman"/>
                <w:sz w:val="20"/>
                <w:szCs w:val="20"/>
                <w:highlight w:val="none"/>
                <w:lang w:val="en-US" w:eastAsia="zh-CN"/>
              </w:rPr>
              <w:t>阶段</w:t>
            </w:r>
            <w:r>
              <w:rPr>
                <w:rFonts w:ascii="Times New Roman"/>
                <w:sz w:val="20"/>
                <w:szCs w:val="20"/>
                <w:highlight w:val="none"/>
              </w:rPr>
              <w:t>所用</w:t>
            </w:r>
            <w:r>
              <w:rPr>
                <w:rFonts w:hint="eastAsia" w:ascii="Times New Roman"/>
                <w:sz w:val="20"/>
                <w:szCs w:val="20"/>
                <w:highlight w:val="none"/>
                <w:lang w:val="en-US" w:eastAsia="zh-CN"/>
              </w:rPr>
              <w:t>能源和物料获取的温室气体排放因子；</w:t>
            </w:r>
          </w:p>
        </w:tc>
        <w:tc>
          <w:tcPr>
            <w:tcW w:w="1853" w:type="dxa"/>
            <w:noWrap w:val="0"/>
            <w:vAlign w:val="center"/>
          </w:tcPr>
          <w:p w14:paraId="5434630C">
            <w:pPr>
              <w:pStyle w:val="13"/>
              <w:ind w:firstLine="0" w:firstLineChars="0"/>
              <w:jc w:val="left"/>
              <w:rPr>
                <w:rFonts w:ascii="Times New Roman"/>
                <w:sz w:val="20"/>
                <w:szCs w:val="16"/>
                <w:highlight w:val="none"/>
                <w:lang w:val="en-US" w:eastAsia="zh-CN" w:bidi="ar-SA"/>
              </w:rPr>
            </w:pPr>
            <w:r>
              <w:rPr>
                <w:rFonts w:ascii="Times New Roman"/>
                <w:sz w:val="20"/>
                <w:szCs w:val="16"/>
                <w:highlight w:val="none"/>
              </w:rPr>
              <w:t>可使用次级数据</w:t>
            </w:r>
          </w:p>
        </w:tc>
      </w:tr>
      <w:tr w14:paraId="7DD44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restart"/>
            <w:noWrap w:val="0"/>
            <w:vAlign w:val="center"/>
          </w:tcPr>
          <w:p w14:paraId="5FFED9A6">
            <w:pPr>
              <w:pStyle w:val="13"/>
              <w:ind w:firstLine="0" w:firstLineChars="0"/>
              <w:jc w:val="center"/>
              <w:rPr>
                <w:rFonts w:hint="eastAsia" w:ascii="Times New Roman" w:eastAsia="宋体"/>
                <w:sz w:val="20"/>
                <w:szCs w:val="20"/>
                <w:lang w:eastAsia="zh-CN"/>
              </w:rPr>
            </w:pPr>
            <w:r>
              <w:rPr>
                <w:rFonts w:hint="eastAsia" w:ascii="Times New Roman"/>
                <w:sz w:val="20"/>
                <w:szCs w:val="16"/>
                <w:lang w:val="en-US" w:eastAsia="zh-CN"/>
              </w:rPr>
              <w:t>施工使用阶段</w:t>
            </w:r>
            <w:r>
              <w:rPr>
                <w:rFonts w:hint="eastAsia" w:ascii="Times New Roman"/>
                <w:sz w:val="20"/>
                <w:szCs w:val="16"/>
                <w:lang w:eastAsia="zh-CN"/>
              </w:rPr>
              <w:t>（</w:t>
            </w:r>
            <w:r>
              <w:rPr>
                <w:rFonts w:hint="eastAsia" w:ascii="Times New Roman"/>
                <w:sz w:val="20"/>
                <w:szCs w:val="16"/>
                <w:lang w:val="en-US" w:eastAsia="zh-CN"/>
              </w:rPr>
              <w:t>D</w:t>
            </w:r>
            <w:r>
              <w:rPr>
                <w:rFonts w:hint="eastAsia" w:ascii="Times New Roman"/>
                <w:sz w:val="20"/>
                <w:szCs w:val="16"/>
                <w:lang w:eastAsia="zh-CN"/>
              </w:rPr>
              <w:t>）</w:t>
            </w:r>
          </w:p>
        </w:tc>
        <w:tc>
          <w:tcPr>
            <w:tcW w:w="6207" w:type="dxa"/>
            <w:noWrap w:val="0"/>
            <w:vAlign w:val="center"/>
          </w:tcPr>
          <w:p w14:paraId="3010D633">
            <w:pPr>
              <w:pStyle w:val="13"/>
              <w:tabs>
                <w:tab w:val="center" w:pos="420"/>
              </w:tabs>
              <w:ind w:firstLine="0" w:firstLineChars="0"/>
              <w:jc w:val="left"/>
              <w:rPr>
                <w:rFonts w:ascii="Times New Roman"/>
                <w:sz w:val="20"/>
                <w:szCs w:val="16"/>
                <w:lang w:val="en-US" w:eastAsia="zh-CN" w:bidi="ar-SA"/>
              </w:rPr>
            </w:pPr>
            <w:r>
              <w:rPr>
                <w:rFonts w:hint="eastAsia" w:ascii="Times New Roman"/>
                <w:sz w:val="20"/>
                <w:szCs w:val="16"/>
                <w:lang w:val="en-US" w:eastAsia="zh-CN"/>
              </w:rPr>
              <w:t>施工</w:t>
            </w:r>
            <w:r>
              <w:rPr>
                <w:rFonts w:ascii="Times New Roman"/>
                <w:sz w:val="20"/>
                <w:szCs w:val="20"/>
              </w:rPr>
              <w:t>、</w:t>
            </w:r>
            <w:r>
              <w:rPr>
                <w:rFonts w:hint="eastAsia" w:ascii="Times New Roman"/>
                <w:sz w:val="20"/>
                <w:szCs w:val="16"/>
                <w:lang w:val="en-US" w:eastAsia="zh-CN"/>
              </w:rPr>
              <w:t>使用</w:t>
            </w:r>
            <w:r>
              <w:rPr>
                <w:rFonts w:ascii="Times New Roman"/>
                <w:sz w:val="20"/>
                <w:szCs w:val="20"/>
              </w:rPr>
              <w:t>过程中</w:t>
            </w:r>
            <w:r>
              <w:rPr>
                <w:rFonts w:hint="eastAsia" w:ascii="Times New Roman"/>
                <w:sz w:val="20"/>
                <w:szCs w:val="20"/>
                <w:lang w:val="en-US" w:eastAsia="zh-CN"/>
              </w:rPr>
              <w:t>清洗</w:t>
            </w:r>
            <w:r>
              <w:rPr>
                <w:rFonts w:ascii="Times New Roman"/>
                <w:sz w:val="20"/>
                <w:szCs w:val="20"/>
              </w:rPr>
              <w:t>材料（如水、清洁剂等）的消耗量</w:t>
            </w:r>
            <w:r>
              <w:rPr>
                <w:rFonts w:hint="eastAsia" w:ascii="Times New Roman"/>
                <w:sz w:val="20"/>
                <w:szCs w:val="20"/>
                <w:lang w:eastAsia="zh-CN"/>
              </w:rPr>
              <w:t>、</w:t>
            </w:r>
            <w:r>
              <w:rPr>
                <w:rFonts w:hint="eastAsia" w:ascii="Times New Roman"/>
                <w:sz w:val="20"/>
                <w:szCs w:val="20"/>
                <w:lang w:val="en-US" w:eastAsia="zh-CN"/>
              </w:rPr>
              <w:t>防护装备废弃处理排放</w:t>
            </w:r>
            <w:r>
              <w:rPr>
                <w:rFonts w:ascii="Times New Roman"/>
                <w:sz w:val="20"/>
                <w:szCs w:val="20"/>
              </w:rPr>
              <w:t>；</w:t>
            </w:r>
          </w:p>
        </w:tc>
        <w:tc>
          <w:tcPr>
            <w:tcW w:w="1853" w:type="dxa"/>
            <w:noWrap w:val="0"/>
            <w:vAlign w:val="center"/>
          </w:tcPr>
          <w:p w14:paraId="5F8802CB">
            <w:pPr>
              <w:pStyle w:val="13"/>
              <w:ind w:firstLine="0" w:firstLineChars="0"/>
              <w:jc w:val="left"/>
              <w:rPr>
                <w:rFonts w:ascii="Times New Roman"/>
                <w:sz w:val="20"/>
                <w:szCs w:val="20"/>
                <w:lang w:val="en-US" w:eastAsia="zh-CN" w:bidi="ar-SA"/>
              </w:rPr>
            </w:pPr>
            <w:r>
              <w:rPr>
                <w:rFonts w:ascii="Times New Roman"/>
                <w:sz w:val="20"/>
                <w:szCs w:val="16"/>
              </w:rPr>
              <w:t>可使用次级数据</w:t>
            </w:r>
          </w:p>
        </w:tc>
      </w:tr>
      <w:tr w14:paraId="49B52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0C88A288">
            <w:pPr>
              <w:pStyle w:val="13"/>
              <w:ind w:firstLine="0" w:firstLineChars="0"/>
              <w:jc w:val="center"/>
              <w:rPr>
                <w:rFonts w:ascii="Times New Roman"/>
                <w:sz w:val="20"/>
                <w:szCs w:val="20"/>
              </w:rPr>
            </w:pPr>
          </w:p>
        </w:tc>
        <w:tc>
          <w:tcPr>
            <w:tcW w:w="6207" w:type="dxa"/>
            <w:noWrap w:val="0"/>
            <w:vAlign w:val="center"/>
          </w:tcPr>
          <w:p w14:paraId="3A132FED">
            <w:pPr>
              <w:pStyle w:val="13"/>
              <w:tabs>
                <w:tab w:val="center" w:pos="420"/>
              </w:tabs>
              <w:ind w:firstLine="0" w:firstLineChars="0"/>
              <w:jc w:val="left"/>
              <w:rPr>
                <w:rFonts w:ascii="Times New Roman"/>
                <w:sz w:val="20"/>
                <w:szCs w:val="16"/>
                <w:highlight w:val="none"/>
                <w:lang w:val="en-US" w:eastAsia="zh-CN" w:bidi="ar-SA"/>
              </w:rPr>
            </w:pPr>
            <w:r>
              <w:rPr>
                <w:rFonts w:hint="eastAsia" w:ascii="Times New Roman"/>
                <w:sz w:val="20"/>
                <w:szCs w:val="16"/>
                <w:highlight w:val="none"/>
                <w:lang w:val="en-US" w:eastAsia="zh-CN"/>
              </w:rPr>
              <w:t>施工、</w:t>
            </w:r>
            <w:r>
              <w:rPr>
                <w:rFonts w:ascii="Times New Roman"/>
                <w:sz w:val="20"/>
                <w:szCs w:val="16"/>
                <w:highlight w:val="none"/>
              </w:rPr>
              <w:t>使用阶段</w:t>
            </w:r>
            <w:r>
              <w:rPr>
                <w:rFonts w:ascii="Times New Roman"/>
                <w:sz w:val="20"/>
                <w:szCs w:val="20"/>
                <w:highlight w:val="none"/>
              </w:rPr>
              <w:t>所用</w:t>
            </w:r>
            <w:r>
              <w:rPr>
                <w:rFonts w:hint="eastAsia" w:ascii="Times New Roman"/>
                <w:sz w:val="20"/>
                <w:szCs w:val="20"/>
                <w:highlight w:val="none"/>
                <w:lang w:val="en-US" w:eastAsia="zh-CN"/>
              </w:rPr>
              <w:t>能源和物料获取的温室气体排放因子；</w:t>
            </w:r>
          </w:p>
        </w:tc>
        <w:tc>
          <w:tcPr>
            <w:tcW w:w="1853" w:type="dxa"/>
            <w:noWrap w:val="0"/>
            <w:vAlign w:val="center"/>
          </w:tcPr>
          <w:p w14:paraId="2CD41D4A">
            <w:pPr>
              <w:pStyle w:val="13"/>
              <w:ind w:firstLine="0" w:firstLineChars="0"/>
              <w:jc w:val="left"/>
              <w:rPr>
                <w:rFonts w:ascii="Times New Roman"/>
                <w:sz w:val="20"/>
                <w:szCs w:val="20"/>
                <w:highlight w:val="none"/>
                <w:lang w:val="en-US" w:eastAsia="zh-CN" w:bidi="ar-SA"/>
              </w:rPr>
            </w:pPr>
            <w:r>
              <w:rPr>
                <w:rFonts w:ascii="Times New Roman"/>
                <w:sz w:val="20"/>
                <w:szCs w:val="16"/>
                <w:highlight w:val="none"/>
              </w:rPr>
              <w:t>可使用次级数据</w:t>
            </w:r>
          </w:p>
        </w:tc>
      </w:tr>
      <w:tr w14:paraId="2F68D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64FDAF59">
            <w:pPr>
              <w:pStyle w:val="13"/>
              <w:ind w:firstLine="0" w:firstLineChars="0"/>
              <w:jc w:val="center"/>
              <w:rPr>
                <w:rFonts w:ascii="Times New Roman"/>
                <w:sz w:val="20"/>
                <w:szCs w:val="16"/>
                <w:highlight w:val="none"/>
              </w:rPr>
            </w:pPr>
          </w:p>
        </w:tc>
        <w:tc>
          <w:tcPr>
            <w:tcW w:w="6207" w:type="dxa"/>
            <w:noWrap w:val="0"/>
            <w:vAlign w:val="center"/>
          </w:tcPr>
          <w:p w14:paraId="384C9E71">
            <w:pPr>
              <w:pStyle w:val="13"/>
              <w:tabs>
                <w:tab w:val="center" w:pos="420"/>
              </w:tabs>
              <w:ind w:firstLine="0" w:firstLineChars="0"/>
              <w:jc w:val="left"/>
              <w:rPr>
                <w:rFonts w:hint="default" w:ascii="Times New Roman"/>
                <w:sz w:val="20"/>
                <w:szCs w:val="20"/>
                <w:lang w:val="en-US" w:eastAsia="zh-CN"/>
              </w:rPr>
            </w:pPr>
            <w:r>
              <w:rPr>
                <w:rFonts w:hint="eastAsia" w:ascii="Times New Roman"/>
                <w:sz w:val="20"/>
                <w:szCs w:val="20"/>
                <w:lang w:val="en-US" w:eastAsia="zh-CN"/>
              </w:rPr>
              <w:t>使用过程中涂料涂层缓慢挥发的微量有机化合物排放；</w:t>
            </w:r>
          </w:p>
        </w:tc>
        <w:tc>
          <w:tcPr>
            <w:tcW w:w="1853" w:type="dxa"/>
            <w:noWrap w:val="0"/>
            <w:vAlign w:val="center"/>
          </w:tcPr>
          <w:p w14:paraId="5BBD40CC">
            <w:pPr>
              <w:pStyle w:val="13"/>
              <w:ind w:firstLine="0" w:firstLineChars="0"/>
              <w:jc w:val="left"/>
              <w:rPr>
                <w:rFonts w:ascii="Times New Roman"/>
                <w:sz w:val="20"/>
                <w:szCs w:val="16"/>
              </w:rPr>
            </w:pPr>
            <w:r>
              <w:rPr>
                <w:rFonts w:ascii="Times New Roman"/>
                <w:sz w:val="20"/>
                <w:szCs w:val="16"/>
                <w:highlight w:val="none"/>
              </w:rPr>
              <w:t>可使用次级数据</w:t>
            </w:r>
          </w:p>
        </w:tc>
      </w:tr>
      <w:tr w14:paraId="13B03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restart"/>
            <w:noWrap w:val="0"/>
            <w:vAlign w:val="center"/>
          </w:tcPr>
          <w:p w14:paraId="4C3F3203">
            <w:pPr>
              <w:pStyle w:val="13"/>
              <w:ind w:firstLine="0" w:firstLineChars="0"/>
              <w:jc w:val="center"/>
              <w:rPr>
                <w:rFonts w:ascii="Times New Roman"/>
                <w:sz w:val="20"/>
                <w:szCs w:val="20"/>
              </w:rPr>
            </w:pPr>
            <w:r>
              <w:rPr>
                <w:rFonts w:ascii="Times New Roman"/>
                <w:sz w:val="20"/>
                <w:szCs w:val="16"/>
                <w:highlight w:val="none"/>
              </w:rPr>
              <w:t>生命末期阶段</w:t>
            </w:r>
            <w:r>
              <w:rPr>
                <w:rFonts w:hint="eastAsia" w:ascii="Times New Roman"/>
                <w:sz w:val="20"/>
                <w:szCs w:val="16"/>
                <w:highlight w:val="none"/>
                <w:lang w:eastAsia="zh-CN"/>
              </w:rPr>
              <w:t>（</w:t>
            </w:r>
            <w:r>
              <w:rPr>
                <w:rFonts w:hint="eastAsia" w:ascii="Times New Roman"/>
                <w:sz w:val="20"/>
                <w:szCs w:val="16"/>
                <w:highlight w:val="none"/>
                <w:lang w:val="en-US" w:eastAsia="zh-CN"/>
              </w:rPr>
              <w:t>E</w:t>
            </w:r>
            <w:r>
              <w:rPr>
                <w:rFonts w:hint="eastAsia" w:ascii="Times New Roman"/>
                <w:sz w:val="20"/>
                <w:szCs w:val="16"/>
                <w:highlight w:val="none"/>
                <w:lang w:eastAsia="zh-CN"/>
              </w:rPr>
              <w:t>）</w:t>
            </w:r>
          </w:p>
        </w:tc>
        <w:tc>
          <w:tcPr>
            <w:tcW w:w="6207" w:type="dxa"/>
            <w:noWrap w:val="0"/>
            <w:vAlign w:val="center"/>
          </w:tcPr>
          <w:p w14:paraId="4F64CEB7">
            <w:pPr>
              <w:pStyle w:val="13"/>
              <w:tabs>
                <w:tab w:val="center" w:pos="420"/>
              </w:tabs>
              <w:ind w:firstLine="0" w:firstLineChars="0"/>
              <w:jc w:val="left"/>
              <w:rPr>
                <w:rFonts w:hint="eastAsia" w:ascii="Times New Roman"/>
                <w:sz w:val="20"/>
                <w:szCs w:val="16"/>
                <w:lang w:val="en-US" w:eastAsia="zh-CN" w:bidi="ar-SA"/>
              </w:rPr>
            </w:pPr>
            <w:r>
              <w:rPr>
                <w:rFonts w:hint="eastAsia" w:ascii="Times New Roman"/>
                <w:sz w:val="20"/>
                <w:szCs w:val="20"/>
                <w:lang w:val="en-US" w:eastAsia="zh-CN"/>
              </w:rPr>
              <w:t>废弃物拆除</w:t>
            </w:r>
            <w:r>
              <w:rPr>
                <w:rFonts w:ascii="Times New Roman"/>
                <w:sz w:val="20"/>
                <w:szCs w:val="20"/>
              </w:rPr>
              <w:t>过程</w:t>
            </w:r>
            <w:r>
              <w:rPr>
                <w:rFonts w:hint="eastAsia" w:ascii="Times New Roman"/>
                <w:sz w:val="20"/>
                <w:szCs w:val="20"/>
              </w:rPr>
              <w:t>能源</w:t>
            </w:r>
            <w:r>
              <w:rPr>
                <w:rFonts w:ascii="Times New Roman"/>
                <w:sz w:val="20"/>
                <w:szCs w:val="20"/>
              </w:rPr>
              <w:t>的消耗量；</w:t>
            </w:r>
          </w:p>
        </w:tc>
        <w:tc>
          <w:tcPr>
            <w:tcW w:w="1853" w:type="dxa"/>
            <w:noWrap w:val="0"/>
            <w:vAlign w:val="center"/>
          </w:tcPr>
          <w:p w14:paraId="4F49C993">
            <w:pPr>
              <w:pStyle w:val="13"/>
              <w:ind w:firstLine="0" w:firstLineChars="0"/>
              <w:jc w:val="left"/>
              <w:rPr>
                <w:rFonts w:ascii="Times New Roman"/>
                <w:sz w:val="20"/>
                <w:szCs w:val="16"/>
                <w:lang w:val="en-US" w:eastAsia="zh-CN" w:bidi="ar-SA"/>
              </w:rPr>
            </w:pPr>
            <w:r>
              <w:rPr>
                <w:rFonts w:ascii="Times New Roman"/>
                <w:sz w:val="20"/>
                <w:szCs w:val="16"/>
              </w:rPr>
              <w:t>可使用次级数据</w:t>
            </w:r>
          </w:p>
        </w:tc>
      </w:tr>
      <w:tr w14:paraId="45712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26F79252">
            <w:pPr>
              <w:pStyle w:val="13"/>
              <w:ind w:firstLine="0" w:firstLineChars="0"/>
              <w:jc w:val="center"/>
              <w:rPr>
                <w:rFonts w:ascii="Times New Roman"/>
                <w:sz w:val="20"/>
                <w:szCs w:val="20"/>
              </w:rPr>
            </w:pPr>
          </w:p>
        </w:tc>
        <w:tc>
          <w:tcPr>
            <w:tcW w:w="6207" w:type="dxa"/>
            <w:noWrap w:val="0"/>
            <w:vAlign w:val="center"/>
          </w:tcPr>
          <w:p w14:paraId="17BF533E">
            <w:pPr>
              <w:pStyle w:val="13"/>
              <w:tabs>
                <w:tab w:val="center" w:pos="420"/>
              </w:tabs>
              <w:ind w:firstLine="0" w:firstLineChars="0"/>
              <w:jc w:val="left"/>
              <w:rPr>
                <w:rFonts w:hint="eastAsia" w:ascii="Times New Roman"/>
                <w:sz w:val="20"/>
                <w:szCs w:val="16"/>
                <w:lang w:val="en-US" w:eastAsia="zh-CN" w:bidi="ar-SA"/>
              </w:rPr>
            </w:pPr>
            <w:r>
              <w:rPr>
                <w:rFonts w:ascii="Times New Roman"/>
                <w:sz w:val="20"/>
                <w:szCs w:val="20"/>
              </w:rPr>
              <w:t>产品回收运输至回收处理/处置地的运输量、运输距离、运输方式；</w:t>
            </w:r>
          </w:p>
        </w:tc>
        <w:tc>
          <w:tcPr>
            <w:tcW w:w="1853" w:type="dxa"/>
            <w:noWrap w:val="0"/>
            <w:vAlign w:val="center"/>
          </w:tcPr>
          <w:p w14:paraId="625FAFE4">
            <w:pPr>
              <w:pStyle w:val="13"/>
              <w:ind w:firstLine="0" w:firstLineChars="0"/>
              <w:jc w:val="left"/>
              <w:rPr>
                <w:rFonts w:ascii="Times New Roman"/>
                <w:sz w:val="20"/>
                <w:szCs w:val="16"/>
                <w:lang w:val="en-US" w:eastAsia="zh-CN" w:bidi="ar-SA"/>
              </w:rPr>
            </w:pPr>
            <w:r>
              <w:rPr>
                <w:rFonts w:ascii="Times New Roman"/>
                <w:sz w:val="20"/>
                <w:szCs w:val="16"/>
              </w:rPr>
              <w:t>可使用次级数据</w:t>
            </w:r>
          </w:p>
        </w:tc>
      </w:tr>
      <w:tr w14:paraId="0C7CF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195B93FA">
            <w:pPr>
              <w:pStyle w:val="13"/>
              <w:ind w:firstLine="0" w:firstLineChars="0"/>
              <w:jc w:val="center"/>
              <w:rPr>
                <w:rFonts w:ascii="Times New Roman"/>
                <w:sz w:val="20"/>
                <w:szCs w:val="20"/>
              </w:rPr>
            </w:pPr>
          </w:p>
        </w:tc>
        <w:tc>
          <w:tcPr>
            <w:tcW w:w="6207" w:type="dxa"/>
            <w:noWrap w:val="0"/>
            <w:vAlign w:val="center"/>
          </w:tcPr>
          <w:p w14:paraId="43A2F476">
            <w:pPr>
              <w:pStyle w:val="13"/>
              <w:numPr>
                <w:ilvl w:val="0"/>
                <w:numId w:val="0"/>
              </w:numPr>
              <w:tabs>
                <w:tab w:val="center" w:pos="420"/>
              </w:tabs>
              <w:ind w:left="0" w:leftChars="0" w:firstLine="0" w:firstLineChars="0"/>
              <w:jc w:val="left"/>
              <w:rPr>
                <w:rFonts w:hint="eastAsia" w:ascii="Times New Roman" w:eastAsia="宋体"/>
                <w:sz w:val="20"/>
                <w:szCs w:val="20"/>
                <w:highlight w:val="none"/>
                <w:lang w:val="en-US" w:eastAsia="zh-CN" w:bidi="ar-SA"/>
              </w:rPr>
            </w:pPr>
            <w:r>
              <w:rPr>
                <w:rFonts w:ascii="Times New Roman"/>
                <w:sz w:val="20"/>
                <w:szCs w:val="20"/>
                <w:highlight w:val="none"/>
              </w:rPr>
              <w:t>不同运输方式的温室气体排放因子</w:t>
            </w:r>
            <w:r>
              <w:rPr>
                <w:rFonts w:hint="eastAsia" w:ascii="Times New Roman"/>
                <w:sz w:val="20"/>
                <w:szCs w:val="20"/>
                <w:highlight w:val="none"/>
                <w:lang w:eastAsia="zh-CN"/>
              </w:rPr>
              <w:t>；</w:t>
            </w:r>
          </w:p>
        </w:tc>
        <w:tc>
          <w:tcPr>
            <w:tcW w:w="1853" w:type="dxa"/>
            <w:noWrap w:val="0"/>
            <w:vAlign w:val="center"/>
          </w:tcPr>
          <w:p w14:paraId="306799AA">
            <w:pPr>
              <w:pStyle w:val="13"/>
              <w:ind w:firstLine="0" w:firstLineChars="0"/>
              <w:jc w:val="left"/>
              <w:rPr>
                <w:rFonts w:ascii="Times New Roman"/>
                <w:sz w:val="20"/>
                <w:szCs w:val="16"/>
                <w:highlight w:val="none"/>
                <w:lang w:val="en-US" w:eastAsia="zh-CN" w:bidi="ar-SA"/>
              </w:rPr>
            </w:pPr>
            <w:r>
              <w:rPr>
                <w:rFonts w:ascii="Times New Roman"/>
                <w:sz w:val="20"/>
                <w:szCs w:val="20"/>
                <w:highlight w:val="none"/>
              </w:rPr>
              <w:t>可使用次级数据</w:t>
            </w:r>
          </w:p>
        </w:tc>
      </w:tr>
      <w:tr w14:paraId="564F7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center"/>
          </w:tcPr>
          <w:p w14:paraId="7B7B07B9">
            <w:pPr>
              <w:pStyle w:val="13"/>
              <w:ind w:firstLine="0" w:firstLineChars="0"/>
              <w:jc w:val="center"/>
              <w:rPr>
                <w:rFonts w:ascii="Times New Roman"/>
                <w:sz w:val="20"/>
                <w:szCs w:val="20"/>
              </w:rPr>
            </w:pPr>
          </w:p>
        </w:tc>
        <w:tc>
          <w:tcPr>
            <w:tcW w:w="6207" w:type="dxa"/>
            <w:noWrap w:val="0"/>
            <w:vAlign w:val="center"/>
          </w:tcPr>
          <w:p w14:paraId="735D945F">
            <w:pPr>
              <w:pStyle w:val="13"/>
              <w:tabs>
                <w:tab w:val="center" w:pos="420"/>
              </w:tabs>
              <w:ind w:firstLine="0" w:firstLineChars="0"/>
              <w:jc w:val="left"/>
              <w:rPr>
                <w:rFonts w:hint="eastAsia" w:ascii="Times New Roman"/>
                <w:sz w:val="20"/>
                <w:szCs w:val="20"/>
                <w:lang w:val="en-US" w:eastAsia="zh-CN" w:bidi="ar-SA"/>
              </w:rPr>
            </w:pPr>
            <w:r>
              <w:rPr>
                <w:rFonts w:ascii="Times New Roman"/>
                <w:sz w:val="20"/>
                <w:szCs w:val="20"/>
              </w:rPr>
              <w:t>填埋等处置方式的处置量；</w:t>
            </w:r>
          </w:p>
        </w:tc>
        <w:tc>
          <w:tcPr>
            <w:tcW w:w="1853" w:type="dxa"/>
            <w:noWrap w:val="0"/>
            <w:vAlign w:val="center"/>
          </w:tcPr>
          <w:p w14:paraId="6ABE3F39">
            <w:pPr>
              <w:pStyle w:val="13"/>
              <w:ind w:firstLine="0" w:firstLineChars="0"/>
              <w:jc w:val="left"/>
              <w:rPr>
                <w:rFonts w:ascii="Times New Roman"/>
                <w:sz w:val="20"/>
                <w:szCs w:val="16"/>
                <w:lang w:val="en-US" w:eastAsia="zh-CN" w:bidi="ar-SA"/>
              </w:rPr>
            </w:pPr>
            <w:r>
              <w:rPr>
                <w:rFonts w:ascii="Times New Roman"/>
                <w:sz w:val="20"/>
                <w:szCs w:val="16"/>
              </w:rPr>
              <w:t>可使用次级数据</w:t>
            </w:r>
          </w:p>
        </w:tc>
      </w:tr>
      <w:tr w14:paraId="670DD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top"/>
          </w:tcPr>
          <w:p w14:paraId="20AA573B">
            <w:pPr>
              <w:pStyle w:val="13"/>
              <w:ind w:firstLine="0" w:firstLineChars="0"/>
              <w:jc w:val="center"/>
              <w:rPr>
                <w:rFonts w:ascii="Times New Roman"/>
                <w:sz w:val="20"/>
                <w:szCs w:val="20"/>
              </w:rPr>
            </w:pPr>
          </w:p>
        </w:tc>
        <w:tc>
          <w:tcPr>
            <w:tcW w:w="0" w:type="auto"/>
            <w:noWrap w:val="0"/>
            <w:vAlign w:val="center"/>
          </w:tcPr>
          <w:p w14:paraId="7E8AEBA4">
            <w:pPr>
              <w:pStyle w:val="13"/>
              <w:tabs>
                <w:tab w:val="center" w:pos="420"/>
              </w:tabs>
              <w:ind w:firstLine="0" w:firstLineChars="0"/>
              <w:jc w:val="left"/>
              <w:rPr>
                <w:rFonts w:hint="eastAsia" w:ascii="Times New Roman"/>
                <w:sz w:val="20"/>
                <w:szCs w:val="20"/>
                <w:lang w:val="en-US" w:eastAsia="zh-CN" w:bidi="ar-SA"/>
              </w:rPr>
            </w:pPr>
            <w:r>
              <w:rPr>
                <w:rFonts w:ascii="Times New Roman"/>
                <w:sz w:val="20"/>
                <w:szCs w:val="20"/>
              </w:rPr>
              <w:t>填埋等处置方式的排放因子；</w:t>
            </w:r>
          </w:p>
        </w:tc>
        <w:tc>
          <w:tcPr>
            <w:tcW w:w="0" w:type="auto"/>
            <w:noWrap w:val="0"/>
            <w:vAlign w:val="center"/>
          </w:tcPr>
          <w:p w14:paraId="2B891FF4">
            <w:pPr>
              <w:pStyle w:val="13"/>
              <w:ind w:firstLine="0" w:firstLineChars="0"/>
              <w:jc w:val="left"/>
              <w:rPr>
                <w:rFonts w:ascii="Times New Roman"/>
                <w:sz w:val="20"/>
                <w:szCs w:val="16"/>
                <w:lang w:val="en-US" w:eastAsia="zh-CN" w:bidi="ar-SA"/>
              </w:rPr>
            </w:pPr>
            <w:r>
              <w:rPr>
                <w:rFonts w:ascii="Times New Roman"/>
                <w:sz w:val="20"/>
                <w:szCs w:val="16"/>
              </w:rPr>
              <w:t>可使用次级数据</w:t>
            </w:r>
          </w:p>
        </w:tc>
      </w:tr>
      <w:tr w14:paraId="236D2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vMerge w:val="continue"/>
            <w:noWrap w:val="0"/>
            <w:vAlign w:val="top"/>
          </w:tcPr>
          <w:p w14:paraId="2C64E987">
            <w:pPr>
              <w:pStyle w:val="13"/>
              <w:ind w:firstLine="0" w:firstLineChars="0"/>
              <w:jc w:val="center"/>
              <w:rPr>
                <w:rFonts w:ascii="Times New Roman"/>
                <w:sz w:val="20"/>
                <w:szCs w:val="20"/>
              </w:rPr>
            </w:pPr>
          </w:p>
        </w:tc>
        <w:tc>
          <w:tcPr>
            <w:tcW w:w="0" w:type="auto"/>
            <w:noWrap w:val="0"/>
            <w:vAlign w:val="center"/>
          </w:tcPr>
          <w:p w14:paraId="70DCA168">
            <w:pPr>
              <w:pStyle w:val="13"/>
              <w:tabs>
                <w:tab w:val="center" w:pos="420"/>
              </w:tabs>
              <w:ind w:firstLine="0" w:firstLineChars="0"/>
              <w:jc w:val="left"/>
              <w:rPr>
                <w:rFonts w:hint="eastAsia" w:ascii="Times New Roman" w:eastAsia="宋体"/>
                <w:sz w:val="20"/>
                <w:szCs w:val="16"/>
                <w:lang w:val="en-US" w:eastAsia="zh-CN" w:bidi="ar-SA"/>
              </w:rPr>
            </w:pPr>
            <w:r>
              <w:rPr>
                <w:rFonts w:hint="eastAsia" w:ascii="Times New Roman"/>
                <w:sz w:val="20"/>
                <w:szCs w:val="20"/>
              </w:rPr>
              <w:t>再生产品的循环量、循环方式及其温室气体排放因子</w:t>
            </w:r>
            <w:r>
              <w:rPr>
                <w:rFonts w:hint="eastAsia" w:ascii="Times New Roman"/>
                <w:sz w:val="20"/>
                <w:szCs w:val="20"/>
                <w:lang w:eastAsia="zh-CN"/>
              </w:rPr>
              <w:t>。</w:t>
            </w:r>
          </w:p>
        </w:tc>
        <w:tc>
          <w:tcPr>
            <w:tcW w:w="0" w:type="auto"/>
            <w:noWrap w:val="0"/>
            <w:vAlign w:val="center"/>
          </w:tcPr>
          <w:p w14:paraId="11EA0AA9">
            <w:pPr>
              <w:jc w:val="left"/>
              <w:rPr>
                <w:rFonts w:ascii="宋体"/>
                <w:kern w:val="2"/>
                <w:sz w:val="20"/>
                <w:szCs w:val="16"/>
                <w:lang w:val="en-US" w:eastAsia="zh-CN" w:bidi="ar-SA"/>
              </w:rPr>
            </w:pPr>
            <w:r>
              <w:rPr>
                <w:rFonts w:ascii="宋体"/>
                <w:sz w:val="20"/>
                <w:szCs w:val="22"/>
              </w:rPr>
              <w:t>可使用次级数据</w:t>
            </w:r>
          </w:p>
        </w:tc>
      </w:tr>
    </w:tbl>
    <w:p w14:paraId="0283335A">
      <w:pPr>
        <w:pStyle w:val="3"/>
        <w:rPr>
          <w:rFonts w:hint="eastAsia" w:ascii="宋体" w:hAnsi="宋体" w:eastAsia="宋体" w:cs="宋体"/>
          <w:spacing w:val="12"/>
          <w:sz w:val="28"/>
          <w:szCs w:val="28"/>
        </w:rPr>
      </w:pPr>
    </w:p>
    <w:p w14:paraId="598949B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2.6.1.2 当开展产品碳足迹研究的组织拥有财务或运营控制权时，应收集现场数据。所收集的数据应具有代表性。对产品碳足迹贡献度不低于50%的单元过程，即使不在财务或运营控制下，宜使用现场数据。现场数据可按附录B收集。</w:t>
      </w:r>
    </w:p>
    <w:p w14:paraId="27E4A84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2.6.1.3 非现场数据可使用次级数据，次级数据宜经第三方评审，同时数据格式应满足相关标准要求。次级数据可来源于国家数据库、公开文献或其他具有代表性的数据。次级数据可按附录C收集。</w:t>
      </w:r>
    </w:p>
    <w:p w14:paraId="13760A5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2.6.1.4 对数据获得方式和来源应予以说明。</w:t>
      </w:r>
    </w:p>
    <w:p w14:paraId="73313E8A">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2.6.2 数据质量要求</w:t>
      </w:r>
    </w:p>
    <w:p w14:paraId="66911403">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2.6.2.1 初级数据采集质量应满足以下要求：</w:t>
      </w:r>
    </w:p>
    <w:p w14:paraId="34EEAB1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a）完整性。根据数据取舍准则（5.5）的要求，检查是否有缺失的单元过程或输入输出物质。初级数据宜采集企业一个自然年或连续12个月内的生产统计数据，特殊情况下可根据企业实际运营情况予以确定；</w:t>
      </w:r>
    </w:p>
    <w:p w14:paraId="5DBE3F75">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准确性。初级数据中的能源、原料消耗数据应来自企业实际生产统计记录，能源和原料获取数据优先来自上游供应商；碳排放数据优先选择核查报告，或由排放因子或物料平衡公式计算获得。所有初级数据均应转换为以功能单位为基准，且应详细记录相关的初级数据、数据来源、计算过程等；</w:t>
      </w:r>
    </w:p>
    <w:p w14:paraId="483A67A0">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c）一致性。初级数据采集时同类数据应保持相同的数据来源、统计口径、处理规则等。</w:t>
      </w:r>
    </w:p>
    <w:p w14:paraId="6A0E303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2.6.2.2 次级数据采集质量应满足以下要求：</w:t>
      </w:r>
    </w:p>
    <w:p w14:paraId="6A031DC3">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a）代表性。优先选择与评估产品系统的时间代表性、区域代表性、技术代表性相近的数据，其次选择近年代表国内及行业平均生产水平公开的生命周期评价数据，最后选择国外同类技术数据；</w:t>
      </w:r>
    </w:p>
    <w:p w14:paraId="28EA375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b）完整性。应涵盖系统边界规定的所有单元过程；</w:t>
      </w:r>
    </w:p>
    <w:p w14:paraId="697E53F5">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c）一致性。同一机构对同类产品次级数据的选择应保持一致。</w:t>
      </w:r>
    </w:p>
    <w:p w14:paraId="705E162E">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2.6.3 数据审定</w:t>
      </w:r>
    </w:p>
    <w:p w14:paraId="0460DEA2">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数据采集过程中，应验证数据的有效性，通过物料平衡、能量平衡、与历史数据和相近工艺数据对比等方式，确认数据的准确性与合理性。对于异常数据，应分析原因，予以替换，替换的数据应满足数据质量要求</w:t>
      </w:r>
    </w:p>
    <w:p w14:paraId="10D9303C">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2.6.4 分配</w:t>
      </w:r>
    </w:p>
    <w:p w14:paraId="4BBD73D2">
      <w:pPr>
        <w:pStyle w:val="6"/>
        <w:spacing w:before="0" w:after="0" w:line="360" w:lineRule="auto"/>
        <w:ind w:firstLine="480" w:firstLineChars="200"/>
        <w:jc w:val="both"/>
        <w:rPr>
          <w:rFonts w:hint="default"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2.6.4.1 在系统边界设置或数据采集时，若发现至少有一个单元过程的输入和输出包含多个产品，则需要进行分配。</w:t>
      </w:r>
    </w:p>
    <w:p w14:paraId="75DEB187">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2.6.4.2 分配的原则如下：</w:t>
      </w:r>
    </w:p>
    <w:p w14:paraId="0096216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a）优先通过细分单元过程避免数据分配；</w:t>
      </w:r>
    </w:p>
    <w:p w14:paraId="4B9D878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b）优先使用物理关系参数（如产量等）进行分配；</w:t>
      </w:r>
    </w:p>
    <w:p w14:paraId="53C22077">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c）若物理关系参数分配法不可行，则可采用经济价值分配法；</w:t>
      </w:r>
    </w:p>
    <w:p w14:paraId="3E6D11A3">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d）对于闭环里循环使用的共生产品，不需要分配；</w:t>
      </w:r>
    </w:p>
    <w:p w14:paraId="7956EF03">
      <w:pPr>
        <w:pStyle w:val="6"/>
        <w:spacing w:before="0" w:after="0" w:line="360" w:lineRule="auto"/>
        <w:ind w:firstLine="480" w:firstLineChars="200"/>
        <w:jc w:val="both"/>
        <w:rPr>
          <w:rFonts w:hint="default"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e）评价过程中涉及分配方法应在产品碳足迹报告中予以明确说明。</w:t>
      </w:r>
    </w:p>
    <w:p w14:paraId="15E038D8">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2.7  影响评价</w:t>
      </w:r>
    </w:p>
    <w:p w14:paraId="1090EB92">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2.7.1 计算方法</w:t>
      </w:r>
    </w:p>
    <w:p w14:paraId="0E0BBC83">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2.7.1.1 在数据收集与确认完成后，将现场数据和非现场数据折算为统一的功能单位，进行产品碳足迹核算。</w:t>
      </w:r>
    </w:p>
    <w:p w14:paraId="12A78B1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2.7.1.2 原料获取阶段（A）</w:t>
      </w:r>
    </w:p>
    <w:p w14:paraId="11A0E956">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每功能单位（声明单位）在原料获取阶段的第i类温室气体排放量计算公式。</w:t>
      </w:r>
    </w:p>
    <w:p w14:paraId="5785465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2.7.1.3 产品生产阶段（B）</w:t>
      </w:r>
    </w:p>
    <w:p w14:paraId="07FEC592">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墙面涂料生产阶段温室气体排放包括生产消耗能源的获取和化石燃料燃烧，每功能单位（声明单位）在生产阶段的第i类温室气体排放量计算公式。</w:t>
      </w:r>
    </w:p>
    <w:p w14:paraId="4ECFE69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2.7.1.4 产品分销阶段（C）</w:t>
      </w:r>
    </w:p>
    <w:p w14:paraId="0C64D086">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每功能单位（声明单位）在分销阶段的第i类温室气体排放量计算公式。</w:t>
      </w:r>
    </w:p>
    <w:p w14:paraId="2C43845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2.7.1.5 施工使用阶段（D）</w:t>
      </w:r>
    </w:p>
    <w:p w14:paraId="7AF37CE0">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产品施工使用阶段涉及的能源和物料消耗产生的温室气体排放计算公式。</w:t>
      </w:r>
    </w:p>
    <w:p w14:paraId="2A0EF3C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2.7.1.6 生命末期阶段（E）</w:t>
      </w:r>
    </w:p>
    <w:p w14:paraId="168FF22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产品生命末期包括拆除后以焚烧、填埋和（或）循环等方式处置计算公式。</w:t>
      </w:r>
    </w:p>
    <w:p w14:paraId="392D690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2.7.1.7 利废原料的处理原则</w:t>
      </w:r>
    </w:p>
    <w:p w14:paraId="51BCB663">
      <w:pPr>
        <w:pStyle w:val="6"/>
        <w:spacing w:before="0" w:after="0" w:line="360" w:lineRule="auto"/>
        <w:ind w:firstLine="480" w:firstLineChars="200"/>
        <w:jc w:val="both"/>
        <w:rPr>
          <w:rFonts w:hint="eastAsia" w:ascii="Times New Roman" w:hAnsi="Times New Roman" w:eastAsia="Times New Roman" w:cs="Times New Roman"/>
          <w:b/>
          <w:bCs/>
          <w:spacing w:val="10"/>
          <w:sz w:val="31"/>
          <w:szCs w:val="31"/>
          <w:lang w:val="en-US" w:eastAsia="zh-CN"/>
        </w:rPr>
      </w:pPr>
      <w:r>
        <w:rPr>
          <w:rFonts w:hint="eastAsia" w:ascii="宋体" w:hAnsi="宋体" w:eastAsia="宋体" w:cs="Times New Roman"/>
          <w:b w:val="0"/>
          <w:bCs w:val="0"/>
          <w:kern w:val="2"/>
          <w:sz w:val="24"/>
          <w:szCs w:val="24"/>
          <w:lang w:val="en-US" w:eastAsia="zh-CN" w:bidi="ar-SA"/>
        </w:rPr>
        <w:t>如使用的利废原料来自于本产品系统（如涂料生产过程中产生的废料再次回用于生产过程），温室气体排放因子按0计算。如使用的利废原料来自于不同产品系统，温室气体排放因子应依据上游产品系统边界的分配原则计算。</w:t>
      </w:r>
    </w:p>
    <w:p w14:paraId="5BD9FEC1">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2.7.2 附加环境信息</w:t>
      </w:r>
    </w:p>
    <w:p w14:paraId="63B857B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2.7.2.1 其他相关的重要信息，宜在附加环境信息中描述，如生物碳含量。</w:t>
      </w:r>
    </w:p>
    <w:p w14:paraId="42B475BE">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2.7.2.2 产品中生物碳含量的声明应满足以下要求：</w:t>
      </w:r>
    </w:p>
    <w:p w14:paraId="41A1342F">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a）当系统边界为“A-E”时，不应单独声明产品中的生物碳含量；</w:t>
      </w:r>
    </w:p>
    <w:p w14:paraId="59561E85">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b）当系统边界仅包括部分生命周期阶段，如“A-B”时，应单独记录产品中的生物碳含量，不应纳入产品碳足迹或产品部分碳足迹的结果，且应在产品碳足迹报告中说明并证明其生物碳含量。</w:t>
      </w:r>
    </w:p>
    <w:p w14:paraId="4C1FC195">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2.8  结果解释</w:t>
      </w:r>
    </w:p>
    <w:p w14:paraId="6BA0CB71">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2.8.1 产品碳足迹研究的生命周期结果解释阶段应包括以下步骤：</w:t>
      </w:r>
    </w:p>
    <w:p w14:paraId="24B1DB7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 根据生命周期清单分析和生命周期影响评价的产品碳足迹和产品部分碳足迹的量化结果，识别显著环节（可包括生命周期阶段、单元过程或流）；</w:t>
      </w:r>
    </w:p>
    <w:p w14:paraId="000C82E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 完整性、一致性和敏感性分析的评估；</w:t>
      </w:r>
    </w:p>
    <w:p w14:paraId="32D3561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 结论、局限性和建议的编制。</w:t>
      </w:r>
    </w:p>
    <w:p w14:paraId="5B7B2796">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2.8.2 应根据产品碳足迹研究的目的和范围进行结果解释，解释应包括以下内容：</w:t>
      </w:r>
    </w:p>
    <w:p w14:paraId="1E137017">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——说明产品碳足迹和各生命周期阶段的碳足迹；</w:t>
      </w:r>
    </w:p>
    <w:p w14:paraId="31A5EA11">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——分析不确定性，包括取舍准则的应用或范围；</w:t>
      </w:r>
    </w:p>
    <w:p w14:paraId="74357451">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——详细记录选定的分配程序；</w:t>
      </w:r>
    </w:p>
    <w:p w14:paraId="18FF233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——说明产品碳足迹研究的局限性。</w:t>
      </w:r>
    </w:p>
    <w:p w14:paraId="2EE26743">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2.8.3 应开展数据质量评价，宜按公开方法评价数据质量。</w:t>
      </w:r>
    </w:p>
    <w:p w14:paraId="394ED497">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2.9 鉴定性评审</w:t>
      </w:r>
    </w:p>
    <w:p w14:paraId="3FDEBD31">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如果开展产品碳足迹研究的鉴定性评审，应按照ISO 14071规定进行，有利于理解产品碳足迹报告，并提高结果的可信度。</w:t>
      </w:r>
    </w:p>
    <w:p w14:paraId="043379A6">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2.10 可比性</w:t>
      </w:r>
    </w:p>
    <w:p w14:paraId="1491F18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产品碳足迹量化结果的对比，应在满足以下所有条件时进行：</w:t>
      </w:r>
    </w:p>
    <w:p w14:paraId="669C9AA4">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a)产品功能、技术性能和用途是相同的；</w:t>
      </w:r>
    </w:p>
    <w:p w14:paraId="22CDCA8B">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b)功能单位是相同的，系统边界的选取是等同的；</w:t>
      </w:r>
    </w:p>
    <w:p w14:paraId="084067B5">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c)数据的收集与确认是等同的（包括数据的描述、取舍准则、数据质量要求）；</w:t>
      </w:r>
    </w:p>
    <w:p w14:paraId="3E4B7F32">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d)产品碳足迹的量化方法是相同的（包括数据审定、分配和产品碳足迹影响评价）。</w:t>
      </w:r>
    </w:p>
    <w:p w14:paraId="39ECFC4E">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2.11 产品碳足迹绩效追踪</w:t>
      </w:r>
    </w:p>
    <w:p w14:paraId="0E6D125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针对同一组织的某一特定产品，宜基于本文件针对连续的数据统计周期对产品碳足迹进行绩效追踪，以改进建筑门窗产品碳足迹对全球变暖的潜在影响。</w:t>
      </w:r>
    </w:p>
    <w:p w14:paraId="1D2B4A80">
      <w:pPr>
        <w:spacing w:before="101" w:line="360" w:lineRule="auto"/>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2.12 产品碳足迹报告</w:t>
      </w:r>
    </w:p>
    <w:p w14:paraId="36D6665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2.12.1 产品碳足迹宜以报告、声明、证书和（或）标签的形式描述碳足迹量化结果，且应以每功能单位（声明单位）的二氧化碳当量进行表述。若采用产品碳足迹证书和（或）产品碳足迹标签，宜同时出具产品碳足迹报告。如碳足迹量化结果应用于产业链下游，则应分别报送产品各生命周期阶段的量化结果，避免碳足迹结果的重复计算。</w:t>
      </w:r>
    </w:p>
    <w:p w14:paraId="1F57911B">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2.12.2 依据本文件编制的产品碳足迹报告应符合GB/T 24067-2024第7章的要求。</w:t>
      </w:r>
    </w:p>
    <w:p w14:paraId="17F478F0">
      <w:pPr>
        <w:spacing w:before="101" w:line="360" w:lineRule="auto"/>
        <w:ind w:left="35"/>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三、主要验证情况分析</w:t>
      </w:r>
    </w:p>
    <w:p w14:paraId="0D16F9D8">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标准编制过程中，选取了较为典型的建筑用墙面涂料进行验证，验证结果如下：</w:t>
      </w:r>
    </w:p>
    <w:p w14:paraId="519BE4BC">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1、功能单位：生产1t建筑用墙面涂料。</w:t>
      </w:r>
    </w:p>
    <w:p w14:paraId="6F6D6C43">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2、系统边界：摇篮到大门（从原材料与能源获取、运输，产品生产到产品出厂为止，不包括产品的使用和废弃阶段）</w:t>
      </w:r>
    </w:p>
    <w:p w14:paraId="2D603D1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3、数据收集：企业现场数据包括生产阶段的原材料消耗、能源消耗、污染物排放以及运输数据（运输方式、距离、运输量）等，统计周期为连续12个月，现场数据通过企业生产现场调研方式获取，数据真实有效。</w:t>
      </w:r>
    </w:p>
    <w:p w14:paraId="48E7E992">
      <w:pPr>
        <w:pStyle w:val="6"/>
        <w:keepNext w:val="0"/>
        <w:keepLines w:val="0"/>
        <w:pageBreakBefore w:val="0"/>
        <w:widowControl/>
        <w:kinsoku w:val="0"/>
        <w:wordWrap/>
        <w:overflowPunct/>
        <w:topLinePunct w:val="0"/>
        <w:autoSpaceDE w:val="0"/>
        <w:autoSpaceDN w:val="0"/>
        <w:bidi w:val="0"/>
        <w:adjustRightInd w:val="0"/>
        <w:snapToGrid w:val="0"/>
        <w:spacing w:before="0" w:after="0" w:line="240" w:lineRule="auto"/>
        <w:jc w:val="center"/>
        <w:textAlignment w:val="baseline"/>
      </w:pPr>
      <w:r>
        <w:drawing>
          <wp:inline distT="0" distB="0" distL="114300" distR="114300">
            <wp:extent cx="5292725" cy="2011045"/>
            <wp:effectExtent l="0" t="0" r="3175" b="825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9"/>
                    <a:stretch>
                      <a:fillRect/>
                    </a:stretch>
                  </pic:blipFill>
                  <pic:spPr>
                    <a:xfrm>
                      <a:off x="0" y="0"/>
                      <a:ext cx="5292725" cy="2011045"/>
                    </a:xfrm>
                    <a:prstGeom prst="rect">
                      <a:avLst/>
                    </a:prstGeom>
                    <a:noFill/>
                    <a:ln>
                      <a:noFill/>
                    </a:ln>
                  </pic:spPr>
                </pic:pic>
              </a:graphicData>
            </a:graphic>
          </wp:inline>
        </w:drawing>
      </w:r>
    </w:p>
    <w:p w14:paraId="47FA7AD5">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eastAsia" w:eastAsia="宋体"/>
          <w:b/>
          <w:bCs/>
          <w:lang w:val="en-US" w:eastAsia="zh-CN"/>
        </w:rPr>
      </w:pPr>
      <w:r>
        <w:rPr>
          <w:rFonts w:hint="eastAsia" w:eastAsia="宋体"/>
          <w:b/>
          <w:bCs/>
          <w:lang w:val="en-US" w:eastAsia="zh-CN"/>
        </w:rPr>
        <w:t>图2  现场数据来源</w:t>
      </w:r>
    </w:p>
    <w:p w14:paraId="12EA0F25">
      <w:pPr>
        <w:pStyle w:val="2"/>
        <w:rPr>
          <w:rFonts w:hint="eastAsia"/>
          <w:lang w:val="en-US" w:eastAsia="zh-CN"/>
        </w:rPr>
      </w:pPr>
    </w:p>
    <w:p w14:paraId="44EE21F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背景数据指企业运营边界外与产品生产相关的原材料获取、运输、能源生产等过程的资源、能源消耗与污染物排放数据，背景数据主要来源于</w:t>
      </w:r>
      <w:r>
        <w:rPr>
          <w:rFonts w:hint="default" w:ascii="宋体" w:hAnsi="宋体" w:eastAsia="宋体" w:cs="Times New Roman"/>
          <w:b w:val="0"/>
          <w:bCs w:val="0"/>
          <w:kern w:val="2"/>
          <w:sz w:val="24"/>
          <w:szCs w:val="24"/>
          <w:lang w:val="en-US" w:eastAsia="zh-CN" w:bidi="ar-SA"/>
        </w:rPr>
        <w:t>Ecoinvent</w:t>
      </w:r>
      <w:r>
        <w:rPr>
          <w:rFonts w:hint="eastAsia" w:ascii="宋体" w:hAnsi="宋体" w:eastAsia="宋体" w:cs="Times New Roman"/>
          <w:b w:val="0"/>
          <w:bCs w:val="0"/>
          <w:kern w:val="2"/>
          <w:sz w:val="24"/>
          <w:szCs w:val="24"/>
          <w:lang w:val="en-US" w:eastAsia="zh-CN" w:bidi="ar-SA"/>
        </w:rPr>
        <w:t>数据库。</w:t>
      </w:r>
    </w:p>
    <w:p w14:paraId="7CECA8FD">
      <w:pPr>
        <w:pStyle w:val="6"/>
        <w:spacing w:before="0" w:after="0" w:line="360" w:lineRule="auto"/>
        <w:ind w:firstLine="480" w:firstLineChars="200"/>
        <w:jc w:val="both"/>
        <w:rPr>
          <w:rFonts w:hint="default" w:eastAsia="宋体"/>
          <w:lang w:val="en-US" w:eastAsia="zh-CN"/>
        </w:rPr>
      </w:pPr>
      <w:r>
        <w:rPr>
          <w:rFonts w:hint="eastAsia" w:ascii="宋体" w:hAnsi="宋体" w:eastAsia="宋体" w:cs="Times New Roman"/>
          <w:b w:val="0"/>
          <w:bCs w:val="0"/>
          <w:kern w:val="2"/>
          <w:sz w:val="24"/>
          <w:szCs w:val="24"/>
          <w:lang w:val="en-US" w:eastAsia="zh-CN" w:bidi="ar-SA"/>
        </w:rPr>
        <w:t>4、数据收集与分配：企业生产过程中，生产原料、能耗均能实现单独计量，不涉及共生产品。</w:t>
      </w:r>
    </w:p>
    <w:p w14:paraId="40D58D3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5、基于生命周期评价结果进行碳足迹分析，产品碳足迹选取</w:t>
      </w:r>
      <w:r>
        <w:rPr>
          <w:rFonts w:hint="default" w:ascii="宋体" w:hAnsi="宋体" w:eastAsia="宋体" w:cs="Times New Roman"/>
          <w:b w:val="0"/>
          <w:bCs w:val="0"/>
          <w:kern w:val="2"/>
          <w:sz w:val="24"/>
          <w:szCs w:val="24"/>
          <w:lang w:val="en-US" w:eastAsia="zh-CN" w:bidi="ar-SA"/>
        </w:rPr>
        <w:t>“</w:t>
      </w:r>
      <w:r>
        <w:rPr>
          <w:rFonts w:hint="eastAsia" w:ascii="宋体" w:hAnsi="宋体" w:eastAsia="宋体" w:cs="Times New Roman"/>
          <w:b w:val="0"/>
          <w:bCs w:val="0"/>
          <w:kern w:val="2"/>
          <w:sz w:val="24"/>
          <w:szCs w:val="24"/>
          <w:lang w:val="en-US" w:eastAsia="zh-CN" w:bidi="ar-SA"/>
        </w:rPr>
        <w:t>全球变暖</w:t>
      </w:r>
      <w:r>
        <w:rPr>
          <w:rFonts w:hint="default" w:ascii="宋体" w:hAnsi="宋体" w:eastAsia="宋体" w:cs="Times New Roman"/>
          <w:b w:val="0"/>
          <w:bCs w:val="0"/>
          <w:kern w:val="2"/>
          <w:sz w:val="24"/>
          <w:szCs w:val="24"/>
          <w:lang w:val="en-US" w:eastAsia="zh-CN" w:bidi="ar-SA"/>
        </w:rPr>
        <w:t>”</w:t>
      </w:r>
      <w:r>
        <w:rPr>
          <w:rFonts w:hint="eastAsia" w:ascii="宋体" w:hAnsi="宋体" w:eastAsia="宋体" w:cs="Times New Roman"/>
          <w:b w:val="0"/>
          <w:bCs w:val="0"/>
          <w:kern w:val="2"/>
          <w:sz w:val="24"/>
          <w:szCs w:val="24"/>
          <w:lang w:val="en-US" w:eastAsia="zh-CN" w:bidi="ar-SA"/>
        </w:rPr>
        <w:t>环境影响指标进行分析，借助</w:t>
      </w:r>
      <w:r>
        <w:rPr>
          <w:rFonts w:hint="default" w:ascii="宋体" w:hAnsi="宋体" w:eastAsia="宋体" w:cs="Times New Roman"/>
          <w:b w:val="0"/>
          <w:bCs w:val="0"/>
          <w:kern w:val="2"/>
          <w:sz w:val="24"/>
          <w:szCs w:val="24"/>
          <w:lang w:val="en-US" w:eastAsia="zh-CN" w:bidi="ar-SA"/>
        </w:rPr>
        <w:t>SimaPro</w:t>
      </w:r>
      <w:r>
        <w:rPr>
          <w:rFonts w:hint="eastAsia" w:ascii="宋体" w:hAnsi="宋体" w:eastAsia="宋体" w:cs="Times New Roman"/>
          <w:b w:val="0"/>
          <w:bCs w:val="0"/>
          <w:kern w:val="2"/>
          <w:sz w:val="24"/>
          <w:szCs w:val="24"/>
          <w:lang w:val="en-US" w:eastAsia="zh-CN" w:bidi="ar-SA"/>
        </w:rPr>
        <w:t xml:space="preserve">软件计算功能单位产品（生产1t建筑用墙面涂料）的全球变暖指标值（即产品碳足迹）及产品各过程对碳足迹的贡献比例。结果包括产品各阶段的 </w:t>
      </w:r>
      <w:r>
        <w:rPr>
          <w:rFonts w:hint="default" w:ascii="宋体" w:hAnsi="宋体" w:eastAsia="宋体" w:cs="Times New Roman"/>
          <w:b w:val="0"/>
          <w:bCs w:val="0"/>
          <w:kern w:val="2"/>
          <w:sz w:val="24"/>
          <w:szCs w:val="24"/>
          <w:lang w:val="en-US" w:eastAsia="zh-CN" w:bidi="ar-SA"/>
        </w:rPr>
        <w:t>CO</w:t>
      </w:r>
      <w:r>
        <w:rPr>
          <w:rFonts w:hint="default" w:ascii="宋体" w:hAnsi="宋体" w:eastAsia="宋体" w:cs="Times New Roman"/>
          <w:b w:val="0"/>
          <w:bCs w:val="0"/>
          <w:kern w:val="2"/>
          <w:sz w:val="24"/>
          <w:szCs w:val="24"/>
          <w:vertAlign w:val="subscript"/>
          <w:lang w:val="en-US" w:eastAsia="zh-CN" w:bidi="ar-SA"/>
        </w:rPr>
        <w:t>2</w:t>
      </w:r>
      <w:r>
        <w:rPr>
          <w:rFonts w:hint="eastAsia" w:ascii="宋体" w:hAnsi="宋体" w:eastAsia="宋体" w:cs="Times New Roman"/>
          <w:b w:val="0"/>
          <w:bCs w:val="0"/>
          <w:kern w:val="2"/>
          <w:sz w:val="24"/>
          <w:szCs w:val="24"/>
          <w:lang w:val="en-US" w:eastAsia="zh-CN" w:bidi="ar-SA"/>
        </w:rPr>
        <w:t>，</w:t>
      </w:r>
      <w:r>
        <w:rPr>
          <w:rFonts w:hint="default" w:ascii="宋体" w:hAnsi="宋体" w:eastAsia="宋体" w:cs="Times New Roman"/>
          <w:b w:val="0"/>
          <w:bCs w:val="0"/>
          <w:kern w:val="2"/>
          <w:sz w:val="24"/>
          <w:szCs w:val="24"/>
          <w:lang w:val="en-US" w:eastAsia="zh-CN" w:bidi="ar-SA"/>
        </w:rPr>
        <w:t>N</w:t>
      </w:r>
      <w:r>
        <w:rPr>
          <w:rFonts w:hint="default" w:ascii="宋体" w:hAnsi="宋体" w:eastAsia="宋体" w:cs="Times New Roman"/>
          <w:b w:val="0"/>
          <w:bCs w:val="0"/>
          <w:kern w:val="2"/>
          <w:sz w:val="24"/>
          <w:szCs w:val="24"/>
          <w:vertAlign w:val="subscript"/>
          <w:lang w:val="en-US" w:eastAsia="zh-CN" w:bidi="ar-SA"/>
        </w:rPr>
        <w:t>2</w:t>
      </w:r>
      <w:r>
        <w:rPr>
          <w:rFonts w:hint="default" w:ascii="宋体" w:hAnsi="宋体" w:eastAsia="宋体" w:cs="Times New Roman"/>
          <w:b w:val="0"/>
          <w:bCs w:val="0"/>
          <w:kern w:val="2"/>
          <w:sz w:val="24"/>
          <w:szCs w:val="24"/>
          <w:lang w:val="en-US" w:eastAsia="zh-CN" w:bidi="ar-SA"/>
        </w:rPr>
        <w:t>O</w:t>
      </w:r>
      <w:r>
        <w:rPr>
          <w:rFonts w:hint="eastAsia" w:ascii="宋体" w:hAnsi="宋体" w:eastAsia="宋体" w:cs="Times New Roman"/>
          <w:b w:val="0"/>
          <w:bCs w:val="0"/>
          <w:kern w:val="2"/>
          <w:sz w:val="24"/>
          <w:szCs w:val="24"/>
          <w:lang w:val="en-US" w:eastAsia="zh-CN" w:bidi="ar-SA"/>
        </w:rPr>
        <w:t>、</w:t>
      </w:r>
      <w:r>
        <w:rPr>
          <w:rFonts w:hint="default" w:ascii="宋体" w:hAnsi="宋体" w:eastAsia="宋体" w:cs="Times New Roman"/>
          <w:b w:val="0"/>
          <w:bCs w:val="0"/>
          <w:kern w:val="2"/>
          <w:sz w:val="24"/>
          <w:szCs w:val="24"/>
          <w:lang w:val="en-US" w:eastAsia="zh-CN" w:bidi="ar-SA"/>
        </w:rPr>
        <w:t>CH</w:t>
      </w:r>
      <w:r>
        <w:rPr>
          <w:rFonts w:hint="default" w:ascii="宋体" w:hAnsi="宋体" w:eastAsia="宋体" w:cs="Times New Roman"/>
          <w:b w:val="0"/>
          <w:bCs w:val="0"/>
          <w:kern w:val="2"/>
          <w:sz w:val="24"/>
          <w:szCs w:val="24"/>
          <w:vertAlign w:val="subscript"/>
          <w:lang w:val="en-US" w:eastAsia="zh-CN" w:bidi="ar-SA"/>
        </w:rPr>
        <w:t>4</w:t>
      </w:r>
      <w:r>
        <w:rPr>
          <w:rFonts w:hint="eastAsia" w:ascii="宋体" w:hAnsi="宋体" w:eastAsia="宋体" w:cs="Times New Roman"/>
          <w:b w:val="0"/>
          <w:bCs w:val="0"/>
          <w:kern w:val="2"/>
          <w:sz w:val="24"/>
          <w:szCs w:val="24"/>
          <w:lang w:val="en-US" w:eastAsia="zh-CN" w:bidi="ar-SA"/>
        </w:rPr>
        <w:t>和其他温室气体排放量（折算为二氧化碳当量）以及温室气体排放总量。</w:t>
      </w:r>
    </w:p>
    <w:p w14:paraId="787B480E">
      <w:pPr>
        <w:pStyle w:val="2"/>
        <w:rPr>
          <w:rFonts w:hint="default" w:ascii="Times New Roman" w:hAnsi="Times New Roman" w:eastAsia="宋体" w:cs="Times New Roman"/>
          <w:b w:val="0"/>
          <w:bCs w:val="0"/>
          <w:snapToGrid w:val="0"/>
          <w:color w:val="000000"/>
          <w:kern w:val="2"/>
          <w:sz w:val="24"/>
          <w:szCs w:val="24"/>
          <w:lang w:val="en-US" w:eastAsia="zh-CN" w:bidi="ar-SA"/>
        </w:rPr>
      </w:pPr>
      <w:r>
        <w:rPr>
          <w:rFonts w:hint="eastAsia"/>
          <w:lang w:val="en-US" w:eastAsia="zh-CN"/>
        </w:rPr>
        <w:t xml:space="preserve">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napToGrid w:val="0"/>
          <w:color w:val="000000"/>
          <w:kern w:val="2"/>
          <w:sz w:val="24"/>
          <w:szCs w:val="24"/>
          <w:lang w:val="en-US" w:eastAsia="zh-CN" w:bidi="ar-SA"/>
        </w:rPr>
        <w:t>水性平涂涂料（外墙用）碳足迹量化</w:t>
      </w:r>
      <w:r>
        <w:rPr>
          <w:rFonts w:hint="default" w:ascii="Times New Roman" w:hAnsi="Times New Roman" w:eastAsia="宋体" w:cs="Times New Roman"/>
          <w:b/>
          <w:bCs/>
          <w:sz w:val="24"/>
          <w:szCs w:val="24"/>
          <w:lang w:val="en-US" w:eastAsia="zh-CN"/>
        </w:rPr>
        <w:t>数据</w:t>
      </w:r>
      <w:r>
        <w:rPr>
          <w:rFonts w:hint="default" w:ascii="Times New Roman" w:hAnsi="Times New Roman" w:eastAsia="宋体" w:cs="Times New Roman"/>
          <w:b/>
          <w:bCs/>
          <w:snapToGrid w:val="0"/>
          <w:color w:val="000000"/>
          <w:kern w:val="2"/>
          <w:sz w:val="24"/>
          <w:szCs w:val="24"/>
          <w:lang w:val="en-US" w:eastAsia="zh-CN" w:bidi="ar-SA"/>
        </w:rPr>
        <w:t>验证</w:t>
      </w:r>
    </w:p>
    <w:p w14:paraId="40C62F08">
      <w:pPr>
        <w:pStyle w:val="2"/>
      </w:pPr>
      <w:r>
        <w:drawing>
          <wp:inline distT="0" distB="0" distL="114300" distR="114300">
            <wp:extent cx="5286375" cy="1511300"/>
            <wp:effectExtent l="0" t="0" r="9525" b="1270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5286375" cy="1511300"/>
                    </a:xfrm>
                    <a:prstGeom prst="rect">
                      <a:avLst/>
                    </a:prstGeom>
                    <a:noFill/>
                    <a:ln>
                      <a:noFill/>
                    </a:ln>
                  </pic:spPr>
                </pic:pic>
              </a:graphicData>
            </a:graphic>
          </wp:inline>
        </w:drawing>
      </w:r>
    </w:p>
    <w:p w14:paraId="3CFF954D">
      <w:pPr>
        <w:jc w:val="center"/>
        <w:rPr>
          <w:rFonts w:hint="eastAsia" w:eastAsia="宋体"/>
          <w:b/>
          <w:bCs/>
          <w:lang w:val="en-US" w:eastAsia="zh-CN"/>
        </w:rPr>
      </w:pPr>
      <w:r>
        <w:rPr>
          <w:rFonts w:hint="eastAsia" w:eastAsia="宋体"/>
          <w:b/>
          <w:bCs/>
          <w:lang w:val="en-US" w:eastAsia="zh-CN"/>
        </w:rPr>
        <w:t>图3 产品重点信息概览</w:t>
      </w:r>
    </w:p>
    <w:p w14:paraId="009739D8">
      <w:pPr>
        <w:pStyle w:val="2"/>
        <w:rPr>
          <w:rFonts w:hint="default"/>
          <w:lang w:val="en-US" w:eastAsia="zh-CN"/>
        </w:rPr>
      </w:pPr>
    </w:p>
    <w:p w14:paraId="02B06B46">
      <w:pPr>
        <w:pStyle w:val="6"/>
        <w:spacing w:before="0" w:after="0" w:line="360" w:lineRule="auto"/>
        <w:jc w:val="both"/>
      </w:pPr>
      <w:r>
        <w:drawing>
          <wp:inline distT="0" distB="0" distL="114300" distR="114300">
            <wp:extent cx="5292725" cy="2717800"/>
            <wp:effectExtent l="0" t="0" r="3175"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5292725" cy="2717800"/>
                    </a:xfrm>
                    <a:prstGeom prst="rect">
                      <a:avLst/>
                    </a:prstGeom>
                    <a:noFill/>
                    <a:ln>
                      <a:noFill/>
                    </a:ln>
                  </pic:spPr>
                </pic:pic>
              </a:graphicData>
            </a:graphic>
          </wp:inline>
        </w:drawing>
      </w:r>
    </w:p>
    <w:p w14:paraId="57A34577">
      <w:pPr>
        <w:jc w:val="center"/>
        <w:rPr>
          <w:rFonts w:hint="eastAsia" w:eastAsia="宋体"/>
          <w:b/>
          <w:bCs/>
          <w:lang w:val="en-US" w:eastAsia="zh-CN"/>
        </w:rPr>
      </w:pPr>
      <w:r>
        <w:rPr>
          <w:rFonts w:hint="eastAsia" w:eastAsia="宋体"/>
          <w:b/>
          <w:bCs/>
          <w:lang w:val="en-US" w:eastAsia="zh-CN"/>
        </w:rPr>
        <w:t>图4  产品各阶段温室气体排放量</w:t>
      </w:r>
    </w:p>
    <w:p w14:paraId="1B28F880">
      <w:pPr>
        <w:pStyle w:val="2"/>
        <w:rPr>
          <w:rFonts w:hint="default" w:eastAsia="宋体"/>
          <w:b/>
          <w:bCs/>
          <w:lang w:val="en-US" w:eastAsia="zh-CN"/>
        </w:rPr>
      </w:pPr>
    </w:p>
    <w:p w14:paraId="4B50CBDC">
      <w:pPr>
        <w:rPr>
          <w:rFonts w:hint="eastAsia"/>
          <w:lang w:val="en-US" w:eastAsia="zh-CN"/>
        </w:rPr>
      </w:pPr>
      <w:r>
        <w:drawing>
          <wp:inline distT="0" distB="0" distL="114300" distR="114300">
            <wp:extent cx="5290185" cy="3197860"/>
            <wp:effectExtent l="0" t="0" r="5715" b="254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5290185" cy="3197860"/>
                    </a:xfrm>
                    <a:prstGeom prst="rect">
                      <a:avLst/>
                    </a:prstGeom>
                    <a:noFill/>
                    <a:ln>
                      <a:noFill/>
                    </a:ln>
                  </pic:spPr>
                </pic:pic>
              </a:graphicData>
            </a:graphic>
          </wp:inline>
        </w:drawing>
      </w:r>
    </w:p>
    <w:p w14:paraId="0B67099E">
      <w:pPr>
        <w:jc w:val="center"/>
        <w:rPr>
          <w:rFonts w:hint="eastAsia" w:eastAsia="宋体"/>
          <w:b/>
          <w:bCs/>
          <w:lang w:val="en-US" w:eastAsia="zh-CN"/>
        </w:rPr>
      </w:pPr>
      <w:r>
        <w:rPr>
          <w:rFonts w:hint="eastAsia" w:eastAsia="宋体"/>
          <w:b/>
          <w:bCs/>
          <w:lang w:val="en-US" w:eastAsia="zh-CN"/>
        </w:rPr>
        <w:t>图5 产品各过程对碳足迹的贡献比例</w:t>
      </w:r>
    </w:p>
    <w:p w14:paraId="7A5224C4">
      <w:pPr>
        <w:keepNext w:val="0"/>
        <w:keepLines w:val="0"/>
        <w:widowControl/>
        <w:suppressLineNumbers w:val="0"/>
        <w:jc w:val="left"/>
        <w:rPr>
          <w:rFonts w:hint="default" w:eastAsia="宋体"/>
          <w:lang w:val="en-US" w:eastAsia="zh-CN"/>
        </w:rPr>
      </w:pPr>
    </w:p>
    <w:p w14:paraId="2716BA25">
      <w:pPr>
        <w:spacing w:before="91" w:line="411" w:lineRule="auto"/>
        <w:ind w:right="239"/>
        <w:jc w:val="both"/>
      </w:pPr>
      <w:r>
        <w:drawing>
          <wp:inline distT="0" distB="0" distL="114300" distR="114300">
            <wp:extent cx="5291455" cy="2747645"/>
            <wp:effectExtent l="0" t="0" r="444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
                    <a:stretch>
                      <a:fillRect/>
                    </a:stretch>
                  </pic:blipFill>
                  <pic:spPr>
                    <a:xfrm>
                      <a:off x="0" y="0"/>
                      <a:ext cx="5291455" cy="2747645"/>
                    </a:xfrm>
                    <a:prstGeom prst="rect">
                      <a:avLst/>
                    </a:prstGeom>
                    <a:noFill/>
                    <a:ln>
                      <a:noFill/>
                    </a:ln>
                  </pic:spPr>
                </pic:pic>
              </a:graphicData>
            </a:graphic>
          </wp:inline>
        </w:drawing>
      </w:r>
    </w:p>
    <w:p w14:paraId="3E78465C">
      <w:pPr>
        <w:keepNext w:val="0"/>
        <w:keepLines w:val="0"/>
        <w:widowControl/>
        <w:suppressLineNumbers w:val="0"/>
        <w:jc w:val="center"/>
      </w:pPr>
      <w:r>
        <w:rPr>
          <w:rFonts w:hint="eastAsia" w:eastAsia="宋体"/>
          <w:b/>
          <w:bCs/>
          <w:lang w:val="en-US" w:eastAsia="zh-CN"/>
        </w:rPr>
        <w:t>图6 产品各生命周期阶段对碳足迹的贡献比例</w:t>
      </w:r>
    </w:p>
    <w:p w14:paraId="34272CE5">
      <w:pPr>
        <w:pStyle w:val="2"/>
        <w:rPr>
          <w:rFonts w:hint="default"/>
          <w:lang w:val="en-US" w:eastAsia="zh-CN"/>
        </w:rPr>
      </w:pPr>
    </w:p>
    <w:p w14:paraId="34B5A8ED">
      <w:pPr>
        <w:spacing w:before="91" w:line="411" w:lineRule="auto"/>
        <w:ind w:right="239" w:firstLine="482" w:firstLineChars="200"/>
        <w:rPr>
          <w:rFonts w:hint="eastAsia" w:ascii="Times New Roman" w:hAnsi="Times New Roman" w:eastAsia="宋体" w:cs="Times New Roman"/>
          <w:b/>
          <w:bCs/>
          <w:snapToGrid w:val="0"/>
          <w:color w:val="000000"/>
          <w:kern w:val="0"/>
          <w:sz w:val="24"/>
          <w:szCs w:val="24"/>
          <w:lang w:val="en-US" w:eastAsia="zh-CN"/>
        </w:rPr>
      </w:pPr>
      <w:r>
        <w:rPr>
          <w:rFonts w:hint="eastAsia" w:ascii="Times New Roman" w:hAnsi="Times New Roman" w:eastAsia="宋体" w:cs="Times New Roman"/>
          <w:b/>
          <w:bCs/>
          <w:snapToGrid w:val="0"/>
          <w:color w:val="000000"/>
          <w:kern w:val="0"/>
          <w:sz w:val="24"/>
          <w:szCs w:val="24"/>
          <w:lang w:val="en-US" w:eastAsia="zh-CN"/>
        </w:rPr>
        <w:t>（2）水性平涂涂料（内墙用）碳足迹量化数据验证</w:t>
      </w:r>
    </w:p>
    <w:p w14:paraId="5912D347">
      <w:pPr>
        <w:pStyle w:val="2"/>
        <w:rPr>
          <w:rFonts w:hint="eastAsia"/>
          <w:lang w:val="en-US" w:eastAsia="zh-CN"/>
        </w:rPr>
      </w:pPr>
      <w:r>
        <w:drawing>
          <wp:inline distT="0" distB="0" distL="114300" distR="114300">
            <wp:extent cx="5286375" cy="1429385"/>
            <wp:effectExtent l="0" t="0" r="9525" b="1841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4"/>
                    <a:stretch>
                      <a:fillRect/>
                    </a:stretch>
                  </pic:blipFill>
                  <pic:spPr>
                    <a:xfrm>
                      <a:off x="0" y="0"/>
                      <a:ext cx="5286375" cy="1429385"/>
                    </a:xfrm>
                    <a:prstGeom prst="rect">
                      <a:avLst/>
                    </a:prstGeom>
                    <a:noFill/>
                    <a:ln>
                      <a:noFill/>
                    </a:ln>
                  </pic:spPr>
                </pic:pic>
              </a:graphicData>
            </a:graphic>
          </wp:inline>
        </w:drawing>
      </w:r>
    </w:p>
    <w:p w14:paraId="4A735AD1">
      <w:pPr>
        <w:jc w:val="center"/>
        <w:rPr>
          <w:rFonts w:hint="eastAsia" w:eastAsia="宋体"/>
          <w:b/>
          <w:bCs/>
          <w:lang w:val="en-US" w:eastAsia="zh-CN"/>
        </w:rPr>
      </w:pPr>
      <w:r>
        <w:rPr>
          <w:rFonts w:hint="eastAsia" w:eastAsia="宋体"/>
          <w:b/>
          <w:bCs/>
          <w:lang w:val="en-US" w:eastAsia="zh-CN"/>
        </w:rPr>
        <w:t>图7 产品重点信息概览</w:t>
      </w:r>
    </w:p>
    <w:p w14:paraId="16E7B739">
      <w:pPr>
        <w:pStyle w:val="2"/>
        <w:rPr>
          <w:rFonts w:hint="eastAsia"/>
          <w:lang w:val="en-US" w:eastAsia="zh-CN"/>
        </w:rPr>
      </w:pPr>
    </w:p>
    <w:p w14:paraId="0BF85BE6">
      <w:pPr>
        <w:pStyle w:val="2"/>
        <w:rPr>
          <w:rFonts w:hint="eastAsia"/>
          <w:lang w:val="en-US" w:eastAsia="zh-CN"/>
        </w:rPr>
      </w:pPr>
      <w:r>
        <w:drawing>
          <wp:inline distT="0" distB="0" distL="114300" distR="114300">
            <wp:extent cx="5291455" cy="2584450"/>
            <wp:effectExtent l="0" t="0" r="4445" b="635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5"/>
                    <a:stretch>
                      <a:fillRect/>
                    </a:stretch>
                  </pic:blipFill>
                  <pic:spPr>
                    <a:xfrm>
                      <a:off x="0" y="0"/>
                      <a:ext cx="5291455" cy="2584450"/>
                    </a:xfrm>
                    <a:prstGeom prst="rect">
                      <a:avLst/>
                    </a:prstGeom>
                    <a:noFill/>
                    <a:ln>
                      <a:noFill/>
                    </a:ln>
                  </pic:spPr>
                </pic:pic>
              </a:graphicData>
            </a:graphic>
          </wp:inline>
        </w:drawing>
      </w:r>
    </w:p>
    <w:p w14:paraId="60297D72">
      <w:pPr>
        <w:jc w:val="center"/>
        <w:rPr>
          <w:rFonts w:hint="eastAsia" w:eastAsia="宋体"/>
          <w:b/>
          <w:bCs/>
          <w:lang w:val="en-US" w:eastAsia="zh-CN"/>
        </w:rPr>
      </w:pPr>
      <w:r>
        <w:rPr>
          <w:rFonts w:hint="eastAsia" w:eastAsia="宋体"/>
          <w:b/>
          <w:bCs/>
          <w:lang w:val="en-US" w:eastAsia="zh-CN"/>
        </w:rPr>
        <w:t>图8  产品各阶段温室气体排放量</w:t>
      </w:r>
    </w:p>
    <w:p w14:paraId="3D1ED71F">
      <w:pPr>
        <w:pStyle w:val="2"/>
        <w:rPr>
          <w:rFonts w:hint="eastAsia"/>
          <w:lang w:val="en-US" w:eastAsia="zh-CN"/>
        </w:rPr>
      </w:pPr>
    </w:p>
    <w:p w14:paraId="604F12C5">
      <w:pPr>
        <w:pStyle w:val="2"/>
        <w:rPr>
          <w:rFonts w:hint="eastAsia"/>
          <w:lang w:val="en-US" w:eastAsia="zh-CN"/>
        </w:rPr>
      </w:pPr>
      <w:r>
        <w:drawing>
          <wp:inline distT="0" distB="0" distL="114300" distR="114300">
            <wp:extent cx="5288915" cy="3332480"/>
            <wp:effectExtent l="0" t="0" r="6985" b="127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6"/>
                    <a:stretch>
                      <a:fillRect/>
                    </a:stretch>
                  </pic:blipFill>
                  <pic:spPr>
                    <a:xfrm>
                      <a:off x="0" y="0"/>
                      <a:ext cx="5288915" cy="3332480"/>
                    </a:xfrm>
                    <a:prstGeom prst="rect">
                      <a:avLst/>
                    </a:prstGeom>
                    <a:noFill/>
                    <a:ln>
                      <a:noFill/>
                    </a:ln>
                  </pic:spPr>
                </pic:pic>
              </a:graphicData>
            </a:graphic>
          </wp:inline>
        </w:drawing>
      </w:r>
    </w:p>
    <w:p w14:paraId="193892DA">
      <w:pPr>
        <w:jc w:val="center"/>
        <w:rPr>
          <w:rFonts w:hint="eastAsia" w:eastAsia="宋体"/>
          <w:b/>
          <w:bCs/>
          <w:lang w:val="en-US" w:eastAsia="zh-CN"/>
        </w:rPr>
      </w:pPr>
      <w:r>
        <w:rPr>
          <w:rFonts w:hint="eastAsia" w:eastAsia="宋体"/>
          <w:b/>
          <w:bCs/>
          <w:lang w:val="en-US" w:eastAsia="zh-CN"/>
        </w:rPr>
        <w:t>图9 产品各过程对碳足迹的贡献比例</w:t>
      </w:r>
    </w:p>
    <w:p w14:paraId="3FF11C9C">
      <w:pPr>
        <w:pStyle w:val="2"/>
        <w:rPr>
          <w:rFonts w:hint="eastAsia"/>
          <w:lang w:val="en-US" w:eastAsia="zh-CN"/>
        </w:rPr>
      </w:pPr>
    </w:p>
    <w:p w14:paraId="07A5D1C7">
      <w:pPr>
        <w:pStyle w:val="2"/>
      </w:pPr>
      <w:r>
        <w:drawing>
          <wp:inline distT="0" distB="0" distL="114300" distR="114300">
            <wp:extent cx="5288915" cy="2740660"/>
            <wp:effectExtent l="0" t="0" r="6985" b="254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7"/>
                    <a:stretch>
                      <a:fillRect/>
                    </a:stretch>
                  </pic:blipFill>
                  <pic:spPr>
                    <a:xfrm>
                      <a:off x="0" y="0"/>
                      <a:ext cx="5288915" cy="2740660"/>
                    </a:xfrm>
                    <a:prstGeom prst="rect">
                      <a:avLst/>
                    </a:prstGeom>
                    <a:noFill/>
                    <a:ln>
                      <a:noFill/>
                    </a:ln>
                  </pic:spPr>
                </pic:pic>
              </a:graphicData>
            </a:graphic>
          </wp:inline>
        </w:drawing>
      </w:r>
    </w:p>
    <w:p w14:paraId="21BD5976">
      <w:pPr>
        <w:pStyle w:val="2"/>
        <w:jc w:val="center"/>
        <w:rPr>
          <w:rFonts w:hint="eastAsia"/>
          <w:lang w:val="en-US" w:eastAsia="zh-CN"/>
        </w:rPr>
      </w:pPr>
      <w:r>
        <w:rPr>
          <w:rFonts w:hint="eastAsia" w:eastAsia="宋体"/>
          <w:b/>
          <w:bCs/>
          <w:lang w:val="en-US" w:eastAsia="zh-CN"/>
        </w:rPr>
        <w:t>图10 产品各生命周期阶段对碳足迹的贡献比例</w:t>
      </w:r>
    </w:p>
    <w:p w14:paraId="2EB6CD1E">
      <w:pPr>
        <w:pStyle w:val="2"/>
        <w:rPr>
          <w:rFonts w:hint="eastAsia"/>
          <w:lang w:val="en-US" w:eastAsia="zh-CN"/>
        </w:rPr>
      </w:pPr>
    </w:p>
    <w:p w14:paraId="2ADD78C1">
      <w:pPr>
        <w:spacing w:before="91" w:line="411" w:lineRule="auto"/>
        <w:ind w:right="239" w:firstLine="482" w:firstLineChars="200"/>
        <w:rPr>
          <w:rFonts w:hint="eastAsia" w:ascii="宋体" w:hAnsi="宋体" w:eastAsia="宋体" w:cs="Times New Roman"/>
          <w:b/>
          <w:bCs/>
          <w:snapToGrid w:val="0"/>
          <w:color w:val="000000"/>
          <w:kern w:val="2"/>
          <w:sz w:val="24"/>
          <w:szCs w:val="24"/>
          <w:lang w:val="en-US" w:eastAsia="zh-CN" w:bidi="ar-SA"/>
        </w:rPr>
      </w:pPr>
      <w:r>
        <w:rPr>
          <w:rFonts w:hint="eastAsia" w:ascii="Times New Roman" w:hAnsi="Times New Roman" w:eastAsia="宋体" w:cs="Times New Roman"/>
          <w:b/>
          <w:bCs/>
          <w:snapToGrid w:val="0"/>
          <w:color w:val="000000"/>
          <w:kern w:val="0"/>
          <w:sz w:val="24"/>
          <w:szCs w:val="24"/>
          <w:lang w:val="en-US" w:eastAsia="zh-CN"/>
        </w:rPr>
        <w:t>（3）水性质感涂料（外墙用）碳足迹量化数据验证</w:t>
      </w:r>
    </w:p>
    <w:p w14:paraId="7F90C7F4">
      <w:pPr>
        <w:pStyle w:val="2"/>
        <w:rPr>
          <w:rFonts w:hint="eastAsia" w:ascii="宋体" w:hAnsi="宋体" w:eastAsia="宋体" w:cs="Times New Roman"/>
          <w:b w:val="0"/>
          <w:bCs w:val="0"/>
          <w:snapToGrid w:val="0"/>
          <w:color w:val="000000"/>
          <w:kern w:val="2"/>
          <w:sz w:val="24"/>
          <w:szCs w:val="24"/>
          <w:lang w:val="en-US" w:eastAsia="zh-CN" w:bidi="ar-SA"/>
        </w:rPr>
      </w:pPr>
      <w:r>
        <w:drawing>
          <wp:inline distT="0" distB="0" distL="114300" distR="114300">
            <wp:extent cx="5286375" cy="1488440"/>
            <wp:effectExtent l="0" t="0" r="9525" b="1651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8"/>
                    <a:stretch>
                      <a:fillRect/>
                    </a:stretch>
                  </pic:blipFill>
                  <pic:spPr>
                    <a:xfrm>
                      <a:off x="0" y="0"/>
                      <a:ext cx="5286375" cy="1488440"/>
                    </a:xfrm>
                    <a:prstGeom prst="rect">
                      <a:avLst/>
                    </a:prstGeom>
                    <a:noFill/>
                    <a:ln>
                      <a:noFill/>
                    </a:ln>
                  </pic:spPr>
                </pic:pic>
              </a:graphicData>
            </a:graphic>
          </wp:inline>
        </w:drawing>
      </w:r>
    </w:p>
    <w:p w14:paraId="6BC4BD00">
      <w:pPr>
        <w:jc w:val="center"/>
        <w:rPr>
          <w:rFonts w:hint="eastAsia" w:eastAsia="宋体"/>
          <w:b/>
          <w:bCs/>
          <w:lang w:val="en-US" w:eastAsia="zh-CN"/>
        </w:rPr>
      </w:pPr>
      <w:r>
        <w:rPr>
          <w:rFonts w:hint="eastAsia" w:eastAsia="宋体"/>
          <w:b/>
          <w:bCs/>
          <w:lang w:val="en-US" w:eastAsia="zh-CN"/>
        </w:rPr>
        <w:t>图11 产品重点信息概览</w:t>
      </w:r>
    </w:p>
    <w:p w14:paraId="2701496F">
      <w:pPr>
        <w:pStyle w:val="2"/>
        <w:rPr>
          <w:rFonts w:hint="eastAsia" w:ascii="宋体" w:hAnsi="宋体" w:eastAsia="宋体" w:cs="Times New Roman"/>
          <w:b w:val="0"/>
          <w:bCs w:val="0"/>
          <w:snapToGrid w:val="0"/>
          <w:color w:val="000000"/>
          <w:kern w:val="2"/>
          <w:sz w:val="24"/>
          <w:szCs w:val="24"/>
          <w:lang w:val="en-US" w:eastAsia="zh-CN" w:bidi="ar-SA"/>
        </w:rPr>
      </w:pPr>
    </w:p>
    <w:p w14:paraId="2265FA39">
      <w:pPr>
        <w:jc w:val="center"/>
        <w:rPr>
          <w:rFonts w:hint="eastAsia" w:eastAsia="宋体"/>
          <w:b/>
          <w:bCs/>
          <w:lang w:val="en-US" w:eastAsia="zh-CN"/>
        </w:rPr>
      </w:pPr>
      <w:r>
        <w:drawing>
          <wp:inline distT="0" distB="0" distL="114300" distR="114300">
            <wp:extent cx="5059045" cy="2981960"/>
            <wp:effectExtent l="0" t="0" r="8255" b="889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9"/>
                    <a:stretch>
                      <a:fillRect/>
                    </a:stretch>
                  </pic:blipFill>
                  <pic:spPr>
                    <a:xfrm>
                      <a:off x="0" y="0"/>
                      <a:ext cx="5059045" cy="2981960"/>
                    </a:xfrm>
                    <a:prstGeom prst="rect">
                      <a:avLst/>
                    </a:prstGeom>
                    <a:noFill/>
                    <a:ln>
                      <a:noFill/>
                    </a:ln>
                  </pic:spPr>
                </pic:pic>
              </a:graphicData>
            </a:graphic>
          </wp:inline>
        </w:drawing>
      </w:r>
    </w:p>
    <w:p w14:paraId="45B09375">
      <w:pPr>
        <w:jc w:val="center"/>
        <w:rPr>
          <w:rFonts w:hint="eastAsia" w:eastAsia="宋体"/>
          <w:b/>
          <w:bCs/>
          <w:lang w:val="en-US" w:eastAsia="zh-CN"/>
        </w:rPr>
      </w:pPr>
      <w:r>
        <w:rPr>
          <w:rFonts w:hint="eastAsia" w:eastAsia="宋体"/>
          <w:b/>
          <w:bCs/>
          <w:lang w:val="en-US" w:eastAsia="zh-CN"/>
        </w:rPr>
        <w:t>图12  产品各阶段温室气体排放量</w:t>
      </w:r>
    </w:p>
    <w:p w14:paraId="2D5C7FE6">
      <w:pPr>
        <w:jc w:val="center"/>
        <w:rPr>
          <w:rFonts w:hint="eastAsia" w:eastAsia="宋体"/>
          <w:b/>
          <w:bCs/>
          <w:lang w:val="en-US" w:eastAsia="zh-CN"/>
        </w:rPr>
      </w:pPr>
      <w:r>
        <w:drawing>
          <wp:inline distT="0" distB="0" distL="114300" distR="114300">
            <wp:extent cx="5287010" cy="2808605"/>
            <wp:effectExtent l="0" t="0" r="8890" b="1079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20"/>
                    <a:stretch>
                      <a:fillRect/>
                    </a:stretch>
                  </pic:blipFill>
                  <pic:spPr>
                    <a:xfrm>
                      <a:off x="0" y="0"/>
                      <a:ext cx="5287010" cy="2808605"/>
                    </a:xfrm>
                    <a:prstGeom prst="rect">
                      <a:avLst/>
                    </a:prstGeom>
                    <a:noFill/>
                    <a:ln>
                      <a:noFill/>
                    </a:ln>
                  </pic:spPr>
                </pic:pic>
              </a:graphicData>
            </a:graphic>
          </wp:inline>
        </w:drawing>
      </w:r>
    </w:p>
    <w:p w14:paraId="15899302">
      <w:pPr>
        <w:jc w:val="center"/>
        <w:rPr>
          <w:rFonts w:hint="eastAsia" w:eastAsia="宋体"/>
          <w:b/>
          <w:bCs/>
          <w:lang w:val="en-US" w:eastAsia="zh-CN"/>
        </w:rPr>
      </w:pPr>
      <w:r>
        <w:rPr>
          <w:rFonts w:hint="eastAsia" w:eastAsia="宋体"/>
          <w:b/>
          <w:bCs/>
          <w:lang w:val="en-US" w:eastAsia="zh-CN"/>
        </w:rPr>
        <w:t>图13 产品各过程对碳足迹的贡献比例</w:t>
      </w:r>
    </w:p>
    <w:p w14:paraId="58903A2B">
      <w:pPr>
        <w:pStyle w:val="2"/>
        <w:rPr>
          <w:rFonts w:hint="eastAsia" w:ascii="宋体" w:hAnsi="宋体" w:eastAsia="宋体" w:cs="Times New Roman"/>
          <w:b w:val="0"/>
          <w:bCs w:val="0"/>
          <w:snapToGrid w:val="0"/>
          <w:color w:val="000000"/>
          <w:kern w:val="2"/>
          <w:sz w:val="24"/>
          <w:szCs w:val="24"/>
          <w:lang w:val="en-US" w:eastAsia="zh-CN" w:bidi="ar-SA"/>
        </w:rPr>
      </w:pPr>
      <w:r>
        <w:drawing>
          <wp:inline distT="0" distB="0" distL="114300" distR="114300">
            <wp:extent cx="5290185" cy="2736850"/>
            <wp:effectExtent l="0" t="0" r="5715" b="635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1"/>
                    <a:stretch>
                      <a:fillRect/>
                    </a:stretch>
                  </pic:blipFill>
                  <pic:spPr>
                    <a:xfrm>
                      <a:off x="0" y="0"/>
                      <a:ext cx="5290185" cy="2736850"/>
                    </a:xfrm>
                    <a:prstGeom prst="rect">
                      <a:avLst/>
                    </a:prstGeom>
                    <a:noFill/>
                    <a:ln>
                      <a:noFill/>
                    </a:ln>
                  </pic:spPr>
                </pic:pic>
              </a:graphicData>
            </a:graphic>
          </wp:inline>
        </w:drawing>
      </w:r>
    </w:p>
    <w:p w14:paraId="25782B3C">
      <w:pPr>
        <w:pStyle w:val="2"/>
        <w:jc w:val="center"/>
        <w:rPr>
          <w:rFonts w:hint="eastAsia"/>
          <w:lang w:val="en-US" w:eastAsia="zh-CN"/>
        </w:rPr>
      </w:pPr>
      <w:r>
        <w:rPr>
          <w:rFonts w:hint="eastAsia" w:eastAsia="宋体"/>
          <w:b/>
          <w:bCs/>
          <w:lang w:val="en-US" w:eastAsia="zh-CN"/>
        </w:rPr>
        <w:t>图14 产品各生命周期阶段对碳足迹的贡献比例</w:t>
      </w:r>
    </w:p>
    <w:p w14:paraId="29B50B5D">
      <w:pPr>
        <w:spacing w:before="91" w:line="411" w:lineRule="auto"/>
        <w:ind w:right="239" w:firstLine="482" w:firstLineChars="200"/>
        <w:rPr>
          <w:rFonts w:hint="eastAsia"/>
          <w:b/>
          <w:bCs/>
          <w:lang w:val="en-US" w:eastAsia="zh-CN"/>
        </w:rPr>
      </w:pPr>
      <w:r>
        <w:rPr>
          <w:rFonts w:hint="eastAsia" w:ascii="Times New Roman" w:hAnsi="Times New Roman" w:eastAsia="宋体" w:cs="Times New Roman"/>
          <w:b/>
          <w:bCs/>
          <w:snapToGrid w:val="0"/>
          <w:color w:val="000000"/>
          <w:kern w:val="0"/>
          <w:sz w:val="24"/>
          <w:szCs w:val="24"/>
          <w:lang w:val="en-US" w:eastAsia="zh-CN"/>
        </w:rPr>
        <w:t>（4）反射隔热涂料（平涂型）碳足迹量化数据验证</w:t>
      </w:r>
    </w:p>
    <w:p w14:paraId="1BD216A5">
      <w:pPr>
        <w:spacing w:before="91" w:line="240" w:lineRule="auto"/>
        <w:ind w:right="239"/>
        <w:rPr>
          <w:rFonts w:hint="eastAsia" w:ascii="宋体" w:hAnsi="宋体" w:eastAsia="宋体" w:cs="宋体"/>
          <w:color w:val="auto"/>
          <w:spacing w:val="12"/>
          <w:sz w:val="24"/>
          <w:szCs w:val="24"/>
          <w:lang w:val="en-US" w:eastAsia="zh-CN"/>
        </w:rPr>
      </w:pPr>
      <w:r>
        <w:drawing>
          <wp:inline distT="0" distB="0" distL="114300" distR="114300">
            <wp:extent cx="5286375" cy="1397635"/>
            <wp:effectExtent l="0" t="0" r="9525" b="1206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2"/>
                    <a:stretch>
                      <a:fillRect/>
                    </a:stretch>
                  </pic:blipFill>
                  <pic:spPr>
                    <a:xfrm>
                      <a:off x="0" y="0"/>
                      <a:ext cx="5286375" cy="1397635"/>
                    </a:xfrm>
                    <a:prstGeom prst="rect">
                      <a:avLst/>
                    </a:prstGeom>
                    <a:noFill/>
                    <a:ln>
                      <a:noFill/>
                    </a:ln>
                  </pic:spPr>
                </pic:pic>
              </a:graphicData>
            </a:graphic>
          </wp:inline>
        </w:drawing>
      </w:r>
    </w:p>
    <w:p w14:paraId="2678C17D">
      <w:pPr>
        <w:spacing w:line="240" w:lineRule="auto"/>
        <w:jc w:val="center"/>
        <w:rPr>
          <w:rFonts w:hint="eastAsia" w:eastAsia="宋体"/>
          <w:b/>
          <w:bCs/>
          <w:lang w:val="en-US" w:eastAsia="zh-CN"/>
        </w:rPr>
      </w:pPr>
      <w:r>
        <w:rPr>
          <w:rFonts w:hint="eastAsia" w:eastAsia="宋体"/>
          <w:b/>
          <w:bCs/>
          <w:lang w:val="en-US" w:eastAsia="zh-CN"/>
        </w:rPr>
        <w:t>图15 产品重点信息概览</w:t>
      </w:r>
    </w:p>
    <w:p w14:paraId="47FBF88E">
      <w:pPr>
        <w:pStyle w:val="2"/>
        <w:rPr>
          <w:rFonts w:hint="eastAsia"/>
          <w:lang w:val="en-US" w:eastAsia="zh-CN"/>
        </w:rPr>
      </w:pPr>
    </w:p>
    <w:p w14:paraId="79D90DE6">
      <w:pPr>
        <w:pStyle w:val="2"/>
        <w:rPr>
          <w:rFonts w:hint="eastAsia" w:eastAsia="宋体"/>
          <w:b/>
          <w:bCs/>
          <w:lang w:val="en-US" w:eastAsia="zh-CN"/>
        </w:rPr>
      </w:pPr>
      <w:r>
        <w:drawing>
          <wp:inline distT="0" distB="0" distL="114300" distR="114300">
            <wp:extent cx="5285740" cy="2626995"/>
            <wp:effectExtent l="0" t="0" r="10160" b="190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3"/>
                    <a:stretch>
                      <a:fillRect/>
                    </a:stretch>
                  </pic:blipFill>
                  <pic:spPr>
                    <a:xfrm>
                      <a:off x="0" y="0"/>
                      <a:ext cx="5285740" cy="2626995"/>
                    </a:xfrm>
                    <a:prstGeom prst="rect">
                      <a:avLst/>
                    </a:prstGeom>
                    <a:noFill/>
                    <a:ln>
                      <a:noFill/>
                    </a:ln>
                  </pic:spPr>
                </pic:pic>
              </a:graphicData>
            </a:graphic>
          </wp:inline>
        </w:drawing>
      </w:r>
    </w:p>
    <w:p w14:paraId="41EA6CBD">
      <w:pPr>
        <w:jc w:val="center"/>
        <w:rPr>
          <w:rFonts w:hint="eastAsia" w:eastAsia="宋体"/>
          <w:b/>
          <w:bCs/>
          <w:lang w:val="en-US" w:eastAsia="zh-CN"/>
        </w:rPr>
      </w:pPr>
      <w:r>
        <w:rPr>
          <w:rFonts w:hint="eastAsia" w:eastAsia="宋体"/>
          <w:b/>
          <w:bCs/>
          <w:lang w:val="en-US" w:eastAsia="zh-CN"/>
        </w:rPr>
        <w:t>图16  产品各阶段温室气体排放量</w:t>
      </w:r>
    </w:p>
    <w:p w14:paraId="0F018E0C">
      <w:pPr>
        <w:pStyle w:val="2"/>
        <w:rPr>
          <w:rFonts w:hint="eastAsia" w:eastAsia="宋体"/>
          <w:b/>
          <w:bCs/>
          <w:lang w:val="en-US" w:eastAsia="zh-CN"/>
        </w:rPr>
      </w:pPr>
      <w:r>
        <w:drawing>
          <wp:inline distT="0" distB="0" distL="114300" distR="114300">
            <wp:extent cx="5290185" cy="3244850"/>
            <wp:effectExtent l="0" t="0" r="5715" b="12700"/>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24"/>
                    <a:stretch>
                      <a:fillRect/>
                    </a:stretch>
                  </pic:blipFill>
                  <pic:spPr>
                    <a:xfrm>
                      <a:off x="0" y="0"/>
                      <a:ext cx="5290185" cy="3244850"/>
                    </a:xfrm>
                    <a:prstGeom prst="rect">
                      <a:avLst/>
                    </a:prstGeom>
                    <a:noFill/>
                    <a:ln>
                      <a:noFill/>
                    </a:ln>
                  </pic:spPr>
                </pic:pic>
              </a:graphicData>
            </a:graphic>
          </wp:inline>
        </w:drawing>
      </w:r>
    </w:p>
    <w:p w14:paraId="4554CDC4">
      <w:pPr>
        <w:jc w:val="center"/>
        <w:rPr>
          <w:rFonts w:hint="eastAsia" w:eastAsia="宋体"/>
          <w:b/>
          <w:bCs/>
          <w:lang w:val="en-US" w:eastAsia="zh-CN"/>
        </w:rPr>
      </w:pPr>
      <w:r>
        <w:rPr>
          <w:rFonts w:hint="eastAsia" w:eastAsia="宋体"/>
          <w:b/>
          <w:bCs/>
          <w:lang w:val="en-US" w:eastAsia="zh-CN"/>
        </w:rPr>
        <w:t>图17 产品各过程对碳足迹的贡献比例</w:t>
      </w:r>
    </w:p>
    <w:p w14:paraId="32FC9160">
      <w:pPr>
        <w:pStyle w:val="2"/>
        <w:rPr>
          <w:rFonts w:hint="eastAsia" w:eastAsia="宋体"/>
          <w:b/>
          <w:bCs/>
          <w:lang w:val="en-US" w:eastAsia="zh-CN"/>
        </w:rPr>
      </w:pPr>
      <w:r>
        <w:drawing>
          <wp:inline distT="0" distB="0" distL="114300" distR="114300">
            <wp:extent cx="5292725" cy="2806065"/>
            <wp:effectExtent l="0" t="0" r="3175" b="1333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5"/>
                    <a:stretch>
                      <a:fillRect/>
                    </a:stretch>
                  </pic:blipFill>
                  <pic:spPr>
                    <a:xfrm>
                      <a:off x="0" y="0"/>
                      <a:ext cx="5292725" cy="2806065"/>
                    </a:xfrm>
                    <a:prstGeom prst="rect">
                      <a:avLst/>
                    </a:prstGeom>
                    <a:noFill/>
                    <a:ln>
                      <a:noFill/>
                    </a:ln>
                  </pic:spPr>
                </pic:pic>
              </a:graphicData>
            </a:graphic>
          </wp:inline>
        </w:drawing>
      </w:r>
    </w:p>
    <w:p w14:paraId="31C39270">
      <w:pPr>
        <w:pStyle w:val="2"/>
        <w:jc w:val="center"/>
        <w:rPr>
          <w:rFonts w:hint="eastAsia"/>
          <w:lang w:val="en-US" w:eastAsia="zh-CN"/>
        </w:rPr>
      </w:pPr>
      <w:r>
        <w:rPr>
          <w:rFonts w:hint="eastAsia" w:eastAsia="宋体"/>
          <w:b/>
          <w:bCs/>
          <w:lang w:val="en-US" w:eastAsia="zh-CN"/>
        </w:rPr>
        <w:t>图18 产品各生命周期阶段对碳足迹的贡献比例</w:t>
      </w:r>
    </w:p>
    <w:p w14:paraId="3B4747C5">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p>
    <w:p w14:paraId="5D02F709">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6、数据质量评价</w:t>
      </w:r>
    </w:p>
    <w:p w14:paraId="54A560F8">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w:t>
      </w:r>
      <w:r>
        <w:rPr>
          <w:rFonts w:hint="default" w:ascii="宋体" w:hAnsi="宋体" w:eastAsia="宋体" w:cs="Times New Roman"/>
          <w:b w:val="0"/>
          <w:bCs w:val="0"/>
          <w:kern w:val="2"/>
          <w:sz w:val="24"/>
          <w:szCs w:val="24"/>
          <w:lang w:val="en-US" w:eastAsia="zh-CN" w:bidi="ar-SA"/>
        </w:rPr>
        <w:t>1</w:t>
      </w:r>
      <w:r>
        <w:rPr>
          <w:rFonts w:hint="eastAsia" w:ascii="宋体" w:hAnsi="宋体" w:eastAsia="宋体" w:cs="Times New Roman"/>
          <w:b w:val="0"/>
          <w:bCs w:val="0"/>
          <w:kern w:val="2"/>
          <w:sz w:val="24"/>
          <w:szCs w:val="24"/>
          <w:lang w:val="en-US" w:eastAsia="zh-CN" w:bidi="ar-SA"/>
        </w:rPr>
        <w:t xml:space="preserve">）现场数据质量评价 </w:t>
      </w:r>
    </w:p>
    <w:p w14:paraId="5F748CA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a</w:t>
      </w:r>
      <w:r>
        <w:rPr>
          <w:rFonts w:hint="eastAsia" w:ascii="宋体" w:hAnsi="宋体" w:eastAsia="宋体" w:cs="Times New Roman"/>
          <w:b w:val="0"/>
          <w:bCs w:val="0"/>
          <w:kern w:val="2"/>
          <w:sz w:val="24"/>
          <w:szCs w:val="24"/>
          <w:lang w:val="en-US" w:eastAsia="zh-CN" w:bidi="ar-SA"/>
        </w:rPr>
        <w:t xml:space="preserve">）完整性：现场数据收集了企业统计周期内的生产统计数据，数据收集过程不存在缺失的过程、消耗和排放。 </w:t>
      </w:r>
    </w:p>
    <w:p w14:paraId="22B70066">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b</w:t>
      </w:r>
      <w:r>
        <w:rPr>
          <w:rFonts w:hint="eastAsia" w:ascii="宋体" w:hAnsi="宋体" w:eastAsia="宋体" w:cs="Times New Roman"/>
          <w:b w:val="0"/>
          <w:bCs w:val="0"/>
          <w:kern w:val="2"/>
          <w:sz w:val="24"/>
          <w:szCs w:val="24"/>
          <w:lang w:val="en-US" w:eastAsia="zh-CN" w:bidi="ar-SA"/>
        </w:rPr>
        <w:t>）准确性：现场数据中的产品产量、能源消耗、原材料消耗数据来自企业的实际生产统计记录；环境排放数据来，颗粒物、氮氧化物等来自三废检测报告，二氧化碳等温室气体及其他无法直接获得的污染气体根据生产用化石能源的消耗量、缺省热值（取自中国能源统计年鉴）与排放因子（取自</w:t>
      </w:r>
      <w:r>
        <w:rPr>
          <w:rFonts w:hint="default" w:ascii="宋体" w:hAnsi="宋体" w:eastAsia="宋体" w:cs="Times New Roman"/>
          <w:b w:val="0"/>
          <w:bCs w:val="0"/>
          <w:kern w:val="2"/>
          <w:sz w:val="24"/>
          <w:szCs w:val="24"/>
          <w:lang w:val="en-US" w:eastAsia="zh-CN" w:bidi="ar-SA"/>
        </w:rPr>
        <w:t>IPCC</w:t>
      </w:r>
      <w:r>
        <w:rPr>
          <w:rFonts w:hint="eastAsia" w:ascii="宋体" w:hAnsi="宋体" w:eastAsia="宋体" w:cs="Times New Roman"/>
          <w:b w:val="0"/>
          <w:bCs w:val="0"/>
          <w:kern w:val="2"/>
          <w:sz w:val="24"/>
          <w:szCs w:val="24"/>
          <w:lang w:val="en-US" w:eastAsia="zh-CN" w:bidi="ar-SA"/>
        </w:rPr>
        <w:t>报告与</w:t>
      </w:r>
      <w:r>
        <w:rPr>
          <w:rFonts w:hint="default" w:ascii="宋体" w:hAnsi="宋体" w:eastAsia="宋体" w:cs="Times New Roman"/>
          <w:b w:val="0"/>
          <w:bCs w:val="0"/>
          <w:kern w:val="2"/>
          <w:sz w:val="24"/>
          <w:szCs w:val="24"/>
          <w:lang w:val="en-US" w:eastAsia="zh-CN" w:bidi="ar-SA"/>
        </w:rPr>
        <w:t>EEA</w:t>
      </w:r>
      <w:r>
        <w:rPr>
          <w:rFonts w:hint="eastAsia" w:ascii="宋体" w:hAnsi="宋体" w:eastAsia="宋体" w:cs="Times New Roman"/>
          <w:b w:val="0"/>
          <w:bCs w:val="0"/>
          <w:kern w:val="2"/>
          <w:sz w:val="24"/>
          <w:szCs w:val="24"/>
          <w:lang w:val="en-US" w:eastAsia="zh-CN" w:bidi="ar-SA"/>
        </w:rPr>
        <w:t xml:space="preserve">报告）估算；原始数据、数据来源和计算过程清晰。 </w:t>
      </w:r>
    </w:p>
    <w:p w14:paraId="0563193D">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c</w:t>
      </w:r>
      <w:r>
        <w:rPr>
          <w:rFonts w:hint="eastAsia" w:ascii="宋体" w:hAnsi="宋体" w:eastAsia="宋体" w:cs="Times New Roman"/>
          <w:b w:val="0"/>
          <w:bCs w:val="0"/>
          <w:kern w:val="2"/>
          <w:sz w:val="24"/>
          <w:szCs w:val="24"/>
          <w:lang w:val="en-US" w:eastAsia="zh-CN" w:bidi="ar-SA"/>
        </w:rPr>
        <w:t xml:space="preserve">）一致性：企业现场数据收集时同类数据均保持相同的数据来源、统计口径、处理规则等。 </w:t>
      </w:r>
    </w:p>
    <w:p w14:paraId="2554144A">
      <w:pPr>
        <w:pStyle w:val="6"/>
        <w:spacing w:before="0" w:after="0" w:line="360" w:lineRule="auto"/>
        <w:ind w:firstLine="480" w:firstLineChars="200"/>
        <w:jc w:val="both"/>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w:t>
      </w:r>
      <w:r>
        <w:rPr>
          <w:rFonts w:hint="default" w:ascii="宋体" w:hAnsi="宋体" w:eastAsia="宋体" w:cs="Times New Roman"/>
          <w:b w:val="0"/>
          <w:bCs w:val="0"/>
          <w:kern w:val="2"/>
          <w:sz w:val="24"/>
          <w:szCs w:val="24"/>
          <w:lang w:val="en-US" w:eastAsia="zh-CN" w:bidi="ar-SA"/>
        </w:rPr>
        <w:t>2</w:t>
      </w:r>
      <w:r>
        <w:rPr>
          <w:rFonts w:hint="eastAsia" w:ascii="宋体" w:hAnsi="宋体" w:eastAsia="宋体" w:cs="Times New Roman"/>
          <w:b w:val="0"/>
          <w:bCs w:val="0"/>
          <w:kern w:val="2"/>
          <w:sz w:val="24"/>
          <w:szCs w:val="24"/>
          <w:lang w:val="en-US" w:eastAsia="zh-CN" w:bidi="ar-SA"/>
        </w:rPr>
        <w:t xml:space="preserve">）背景数据质量评价 </w:t>
      </w:r>
    </w:p>
    <w:p w14:paraId="36D3E3B3">
      <w:pPr>
        <w:pStyle w:val="6"/>
        <w:spacing w:before="0" w:after="0" w:line="360" w:lineRule="auto"/>
        <w:ind w:firstLine="480" w:firstLineChars="200"/>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a</w:t>
      </w:r>
      <w:r>
        <w:rPr>
          <w:rFonts w:hint="eastAsia" w:ascii="宋体" w:hAnsi="宋体" w:eastAsia="宋体" w:cs="Times New Roman"/>
          <w:b w:val="0"/>
          <w:bCs w:val="0"/>
          <w:kern w:val="2"/>
          <w:sz w:val="24"/>
          <w:szCs w:val="24"/>
          <w:lang w:val="en-US" w:eastAsia="zh-CN" w:bidi="ar-SA"/>
        </w:rPr>
        <w:t xml:space="preserve">）代表性：优先选择企业的原料供应商提供的符合相关 </w:t>
      </w:r>
      <w:r>
        <w:rPr>
          <w:rFonts w:hint="default" w:ascii="宋体" w:hAnsi="宋体" w:eastAsia="宋体" w:cs="Times New Roman"/>
          <w:b w:val="0"/>
          <w:bCs w:val="0"/>
          <w:kern w:val="2"/>
          <w:sz w:val="24"/>
          <w:szCs w:val="24"/>
          <w:lang w:val="en-US" w:eastAsia="zh-CN" w:bidi="ar-SA"/>
        </w:rPr>
        <w:t xml:space="preserve">PCR </w:t>
      </w:r>
      <w:r>
        <w:rPr>
          <w:rFonts w:hint="eastAsia" w:ascii="宋体" w:hAnsi="宋体" w:eastAsia="宋体" w:cs="Times New Roman"/>
          <w:b w:val="0"/>
          <w:bCs w:val="0"/>
          <w:kern w:val="2"/>
          <w:sz w:val="24"/>
          <w:szCs w:val="24"/>
          <w:lang w:val="en-US" w:eastAsia="zh-CN" w:bidi="ar-SA"/>
        </w:rPr>
        <w:t xml:space="preserve">标准要求、经第三方独立验证的上游产品数据作为背景数据，其次选择近年代表国内行业平均生产水平的公开生命周期评价数据，再次选择国外同类技术数据作为背景数据。 </w:t>
      </w:r>
    </w:p>
    <w:p w14:paraId="1C776013">
      <w:pPr>
        <w:pStyle w:val="6"/>
        <w:spacing w:before="0" w:after="0" w:line="360" w:lineRule="auto"/>
        <w:ind w:firstLine="480" w:firstLineChars="200"/>
        <w:jc w:val="both"/>
        <w:rPr>
          <w:rFonts w:hint="default" w:ascii="宋体" w:hAnsi="宋体" w:eastAsia="宋体" w:cs="Times New Roman"/>
          <w:b w:val="0"/>
          <w:bCs w:val="0"/>
          <w:kern w:val="2"/>
          <w:sz w:val="24"/>
          <w:szCs w:val="24"/>
          <w:lang w:val="en-US" w:eastAsia="zh-CN" w:bidi="ar-SA"/>
        </w:rPr>
      </w:pPr>
      <w:r>
        <w:rPr>
          <w:rFonts w:hint="default" w:ascii="宋体" w:hAnsi="宋体" w:eastAsia="宋体" w:cs="Times New Roman"/>
          <w:b w:val="0"/>
          <w:bCs w:val="0"/>
          <w:kern w:val="2"/>
          <w:sz w:val="24"/>
          <w:szCs w:val="24"/>
          <w:lang w:val="en-US" w:eastAsia="zh-CN" w:bidi="ar-SA"/>
        </w:rPr>
        <w:t>b</w:t>
      </w:r>
      <w:r>
        <w:rPr>
          <w:rFonts w:hint="eastAsia" w:ascii="宋体" w:hAnsi="宋体" w:eastAsia="宋体" w:cs="Times New Roman"/>
          <w:b w:val="0"/>
          <w:bCs w:val="0"/>
          <w:kern w:val="2"/>
          <w:sz w:val="24"/>
          <w:szCs w:val="24"/>
          <w:lang w:val="en-US" w:eastAsia="zh-CN" w:bidi="ar-SA"/>
        </w:rPr>
        <w:t xml:space="preserve">）完整性：背景数据集均收集齐全，背景数据清单的输入与输出流信息完 整，企业生产设备等背景数据根据制定的取舍规则舍弃。 </w:t>
      </w:r>
    </w:p>
    <w:p w14:paraId="42C9A65A">
      <w:pPr>
        <w:pStyle w:val="6"/>
        <w:spacing w:before="0" w:after="0" w:line="360" w:lineRule="auto"/>
        <w:ind w:firstLine="480" w:firstLineChars="200"/>
        <w:jc w:val="both"/>
        <w:rPr>
          <w:rFonts w:hint="eastAsia"/>
          <w:lang w:val="en-US" w:eastAsia="zh-CN"/>
        </w:rPr>
      </w:pPr>
      <w:r>
        <w:rPr>
          <w:rFonts w:hint="default" w:ascii="宋体" w:hAnsi="宋体" w:eastAsia="宋体" w:cs="Times New Roman"/>
          <w:b w:val="0"/>
          <w:bCs w:val="0"/>
          <w:kern w:val="2"/>
          <w:sz w:val="24"/>
          <w:szCs w:val="24"/>
          <w:lang w:val="en-US" w:eastAsia="zh-CN" w:bidi="ar-SA"/>
        </w:rPr>
        <w:t>c</w:t>
      </w:r>
      <w:r>
        <w:rPr>
          <w:rFonts w:hint="eastAsia" w:ascii="宋体" w:hAnsi="宋体" w:eastAsia="宋体" w:cs="Times New Roman"/>
          <w:b w:val="0"/>
          <w:bCs w:val="0"/>
          <w:kern w:val="2"/>
          <w:sz w:val="24"/>
          <w:szCs w:val="24"/>
          <w:lang w:val="en-US" w:eastAsia="zh-CN" w:bidi="ar-SA"/>
        </w:rPr>
        <w:t>）一致性：对同类产品背景数据的选择保持一致，当背景数据更新时，量化结果也应更新。</w:t>
      </w:r>
    </w:p>
    <w:p w14:paraId="4C73CF55">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四、标准中涉及专利情况</w:t>
      </w:r>
    </w:p>
    <w:p w14:paraId="74640105">
      <w:pPr>
        <w:pStyle w:val="6"/>
        <w:spacing w:before="0" w:after="0" w:line="360" w:lineRule="auto"/>
        <w:ind w:firstLine="480" w:firstLineChars="200"/>
        <w:jc w:val="both"/>
        <w:rPr>
          <w:rFonts w:ascii="Arial"/>
          <w:sz w:val="21"/>
        </w:rPr>
      </w:pPr>
      <w:r>
        <w:rPr>
          <w:rFonts w:hint="eastAsia" w:ascii="宋体" w:hAnsi="宋体" w:eastAsia="宋体" w:cs="Times New Roman"/>
          <w:b w:val="0"/>
          <w:bCs w:val="0"/>
          <w:kern w:val="2"/>
          <w:sz w:val="24"/>
          <w:szCs w:val="24"/>
          <w:lang w:val="en-US" w:eastAsia="zh-CN" w:bidi="ar-SA"/>
        </w:rPr>
        <w:t>不涉及专利。</w:t>
      </w:r>
    </w:p>
    <w:p w14:paraId="4AEED02E">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五、产业化情况、推广应用论证和预期达到的经济效果等情况</w:t>
      </w:r>
    </w:p>
    <w:p w14:paraId="2BD9737B">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2020年建筑全过程碳排放占全国碳排放总量的50.9%，其中建材生产阶段占全国碳排放总量的28.2%，建筑施工阶段占1.0%，建筑运行阶段占21.7%，我国建筑业碳排放总量大，其中建材生产阶段与建筑运行阶段占比最大，是碳减排的突破方向。国家近年来大力倡导绿色建筑、节能建筑，并且出台了多项具体的规范规程，对建筑节能设计提出了很多具体的要求。建筑用墙面涂料作为大宗建材，其碳足迹的精准量化是计算建筑全生命周期碳排放的基础数据。随着节能指标的不断提高，建筑用墙面涂料行业近几年来也在快速向着高质量、绿色化进行发展，同时产品除了功能性之外，产品的质量、性能以及绿色化程度也越来越多的为消费者所关注。</w:t>
      </w:r>
    </w:p>
    <w:p w14:paraId="4638DF41">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我国是全球最大的建筑涂料生产国和消费国，随着城市更新和老旧小区改造将持续释放庞大的市场需求。当前建筑用墙面涂料产业正处在机遇与挑战并存的转型期，在“双碳”目标这环保健康需求的双重驱动下，行业正向绿色化、功能化方向加速升级。随着城市化进程加快以及基础设施建设需求释放，绿色建筑、装配式建筑、绿色建材等行业在双碳目标主导引领下，将进入市场增长期。产品碳足迹评价是基于生命周期评价的方法对于一个产品系统温室气体排放和吸收的汇总，以二氧化碳当量这种形式来表述。可以帮助组织评估产品对温室气体环境因素的影响，为环境报告提供有效信息。企业可根据确定的产品碳足迹来减少碳排放行为，并由此采取可行的措施来控制和减少碳排放，改善内部运营，节能减排，获得竞争优势。此外，产品碳足迹评价也是引导消费者环保行为的有效标识，引导消费决策。在调研中发现，在计算产品碳足迹时可能采用不同的边界、数据来源和分配方法，导致结果千差万别，缺乏可比性。通过统一标准、规范市场、引导消费、倒逼转型，将有力地推动建筑涂料行业乃至整个建筑领域迈向高质量的可持续发展道路。</w:t>
      </w:r>
    </w:p>
    <w:p w14:paraId="1DE76DA6">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六、采用国际标准和国外先进标准情况，与国际、国外同类标准水平的对比情况，国内外关键指标对比分析或与测试的国外样品、样机的相关数据对比情况</w:t>
      </w:r>
    </w:p>
    <w:p w14:paraId="088B8378">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国际目前碳足迹采用的标准为PAS2050《商品和服务在生命周期内的温室气体排放评价规范》、《温室气体核算体系》（2011）和ISO 14067《产品碳足迹 量化和通报的要求和指南》。目前，国内出台的产品碳足迹相关的标准包括GB/T 24067-2024《温室气体 产品碳足迹 量化要求和指南》、GB/T 32150-2015《工业企业温室气体排放核算和报告通则》等标准，建材行业也在开展相关研究工作，包括玻璃、水泥、门窗、陶瓷、板材等产品的相关研究。</w:t>
      </w:r>
    </w:p>
    <w:p w14:paraId="37569301">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七、与现行相关法律、法规、规章及相关标准，特别是强制性标准的协调性</w:t>
      </w:r>
    </w:p>
    <w:p w14:paraId="25285A15">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本标准符合我国有关法律、法规的要求，并与国家相关政策、规划等保持一致。</w:t>
      </w:r>
    </w:p>
    <w:p w14:paraId="2C78EFC0">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八、重大分歧意见的处理经过和依据</w:t>
      </w:r>
    </w:p>
    <w:p w14:paraId="6AF19901">
      <w:pPr>
        <w:pStyle w:val="6"/>
        <w:spacing w:before="0" w:after="0" w:line="360" w:lineRule="auto"/>
        <w:ind w:firstLine="480" w:firstLineChars="200"/>
        <w:jc w:val="both"/>
        <w:rPr>
          <w:rFonts w:ascii="Arial"/>
          <w:sz w:val="21"/>
        </w:rPr>
      </w:pPr>
      <w:r>
        <w:rPr>
          <w:rFonts w:hint="eastAsia" w:ascii="宋体" w:hAnsi="宋体" w:eastAsia="宋体" w:cs="Times New Roman"/>
          <w:b w:val="0"/>
          <w:bCs w:val="0"/>
          <w:color w:val="auto"/>
          <w:kern w:val="2"/>
          <w:sz w:val="24"/>
          <w:szCs w:val="24"/>
          <w:lang w:val="en-US" w:eastAsia="zh-CN" w:bidi="ar-SA"/>
        </w:rPr>
        <w:t>本标准编制过程中未出现重大分歧意见。</w:t>
      </w:r>
    </w:p>
    <w:p w14:paraId="0FB8D8E1">
      <w:pPr>
        <w:spacing w:before="101" w:line="360" w:lineRule="auto"/>
        <w:ind w:left="35"/>
        <w:jc w:val="both"/>
        <w:outlineLvl w:val="1"/>
        <w:rPr>
          <w:rFonts w:ascii="Arial"/>
          <w:sz w:val="21"/>
        </w:rPr>
      </w:pPr>
      <w:r>
        <w:rPr>
          <w:rFonts w:hint="eastAsia" w:ascii="Times New Roman" w:hAnsi="Times New Roman" w:eastAsia="Times New Roman" w:cs="Times New Roman"/>
          <w:b/>
          <w:bCs/>
          <w:spacing w:val="10"/>
          <w:sz w:val="31"/>
          <w:szCs w:val="31"/>
          <w:lang w:val="en-US" w:eastAsia="zh-CN"/>
        </w:rPr>
        <w:t>九、标准性质的建议说明</w:t>
      </w:r>
    </w:p>
    <w:p w14:paraId="4EB50A90">
      <w:pPr>
        <w:pStyle w:val="6"/>
        <w:spacing w:before="0" w:after="0" w:line="360" w:lineRule="auto"/>
        <w:ind w:firstLine="480" w:firstLineChars="200"/>
        <w:jc w:val="both"/>
      </w:pPr>
      <w:r>
        <w:rPr>
          <w:rFonts w:hint="eastAsia" w:ascii="宋体" w:hAnsi="宋体" w:eastAsia="宋体" w:cs="Times New Roman"/>
          <w:b w:val="0"/>
          <w:bCs w:val="0"/>
          <w:color w:val="auto"/>
          <w:kern w:val="2"/>
          <w:sz w:val="24"/>
          <w:szCs w:val="24"/>
          <w:lang w:val="en-US" w:eastAsia="zh-CN" w:bidi="ar-SA"/>
        </w:rPr>
        <w:t>建议本标准作为协会推荐性标准发布实施。</w:t>
      </w:r>
    </w:p>
    <w:p w14:paraId="6E3D24FB">
      <w:pPr>
        <w:spacing w:before="101" w:line="360" w:lineRule="auto"/>
        <w:ind w:left="35"/>
        <w:jc w:val="both"/>
        <w:outlineLvl w:val="1"/>
        <w:rPr>
          <w:rFonts w:ascii="Arial"/>
          <w:sz w:val="21"/>
        </w:rPr>
      </w:pPr>
      <w:r>
        <w:rPr>
          <w:rFonts w:hint="eastAsia" w:ascii="Times New Roman" w:hAnsi="Times New Roman" w:eastAsia="Times New Roman" w:cs="Times New Roman"/>
          <w:b/>
          <w:bCs/>
          <w:spacing w:val="10"/>
          <w:sz w:val="31"/>
          <w:szCs w:val="31"/>
          <w:lang w:val="en-US" w:eastAsia="zh-CN"/>
        </w:rPr>
        <w:t>十、贯彻标准的要求和措施建议 (包括组织措施、技术措施、过度办法、实施日期等)</w:t>
      </w:r>
    </w:p>
    <w:p w14:paraId="1DABCD26">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本标准由中国建筑材料联合会与中国技术经济学会归口并负责解释和修订。</w:t>
      </w:r>
    </w:p>
    <w:p w14:paraId="3F2F56FB">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十一、废止现行相关标准的建议</w:t>
      </w:r>
    </w:p>
    <w:p w14:paraId="789A6925">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p>
    <w:p w14:paraId="5BA9192E">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pict>
          <v:shape id="_x0000_s1027" o:spid="_x0000_s1027" o:spt="202" type="#_x0000_t202" style="position:absolute;left:0pt;margin-left:28.3pt;margin-top:-5.45pt;height:18.75pt;width:15.4pt;z-index:251661312;mso-width-relative:page;mso-height-relative:page;" filled="f" stroked="f" coordsize="21600,21600">
            <v:path/>
            <v:fill on="f" focussize="0,0"/>
            <v:stroke on="f"/>
            <v:imagedata o:title=""/>
            <o:lock v:ext="edit" aspectratio="f"/>
            <v:textbox inset="0mm,0mm,0mm,0mm">
              <w:txbxContent>
                <w:p w14:paraId="37385CC6">
                  <w:pPr>
                    <w:spacing w:before="19" w:line="221" w:lineRule="auto"/>
                    <w:ind w:left="20"/>
                    <w:rPr>
                      <w:rFonts w:ascii="宋体" w:hAnsi="宋体" w:eastAsia="宋体" w:cs="宋体"/>
                      <w:sz w:val="28"/>
                      <w:szCs w:val="28"/>
                    </w:rPr>
                  </w:pPr>
                </w:p>
              </w:txbxContent>
            </v:textbox>
          </v:shape>
        </w:pict>
      </w:r>
      <w:r>
        <w:rPr>
          <w:rFonts w:hint="eastAsia" w:ascii="宋体" w:hAnsi="宋体" w:eastAsia="宋体" w:cs="Times New Roman"/>
          <w:b w:val="0"/>
          <w:bCs w:val="0"/>
          <w:color w:val="auto"/>
          <w:kern w:val="2"/>
          <w:sz w:val="24"/>
          <w:szCs w:val="24"/>
          <w:lang w:val="en-US" w:eastAsia="zh-CN" w:bidi="ar-SA"/>
        </w:rPr>
        <w:t>无。</w:t>
      </w:r>
    </w:p>
    <w:p w14:paraId="2DC346CD">
      <w:pPr>
        <w:spacing w:before="101" w:line="360" w:lineRule="auto"/>
        <w:ind w:left="35"/>
        <w:jc w:val="both"/>
        <w:outlineLvl w:val="1"/>
        <w:rPr>
          <w:rFonts w:hint="eastAsia" w:ascii="Times New Roman" w:hAnsi="Times New Roman" w:eastAsia="Times New Roman" w:cs="Times New Roman"/>
          <w:b/>
          <w:bCs/>
          <w:spacing w:val="10"/>
          <w:sz w:val="31"/>
          <w:szCs w:val="31"/>
          <w:lang w:val="en-US" w:eastAsia="zh-CN"/>
        </w:rPr>
      </w:pPr>
      <w:r>
        <w:rPr>
          <w:rFonts w:hint="eastAsia" w:ascii="Times New Roman" w:hAnsi="Times New Roman" w:eastAsia="Times New Roman" w:cs="Times New Roman"/>
          <w:b/>
          <w:bCs/>
          <w:spacing w:val="10"/>
          <w:sz w:val="31"/>
          <w:szCs w:val="31"/>
          <w:lang w:val="en-US" w:eastAsia="zh-CN"/>
        </w:rPr>
        <w:t>十二、其他应予说明的事项</w:t>
      </w:r>
    </w:p>
    <w:p w14:paraId="1437D21C">
      <w:pPr>
        <w:pStyle w:val="6"/>
        <w:spacing w:before="0" w:after="0" w:line="360" w:lineRule="auto"/>
        <w:ind w:firstLine="480" w:firstLineChars="200"/>
        <w:jc w:val="both"/>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无。</w:t>
      </w:r>
    </w:p>
    <w:sectPr>
      <w:footerReference r:id="rId6" w:type="default"/>
      <w:pgSz w:w="11906" w:h="16839"/>
      <w:pgMar w:top="1431" w:right="1785" w:bottom="926" w:left="1785" w:header="0" w:footer="740" w:gutter="0"/>
      <w:pgNumType w:fmt="decimal"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F8EF4">
    <w:pPr>
      <w:spacing w:before="1" w:line="224" w:lineRule="auto"/>
      <w:ind w:left="3362"/>
      <w:rPr>
        <w:rFonts w:ascii="宋体" w:hAnsi="宋体" w:eastAsia="宋体" w:cs="宋体"/>
        <w:sz w:val="31"/>
        <w:szCs w:val="31"/>
      </w:rPr>
    </w:pPr>
    <w:r>
      <w:rPr>
        <w:sz w:val="3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846BEC">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2846BEC">
                    <w:pPr>
                      <w:pStyle w:val="3"/>
                    </w:pPr>
                    <w:r>
                      <w:fldChar w:fldCharType="begin"/>
                    </w:r>
                    <w:r>
                      <w:instrText xml:space="preserve"> PAGE  \* MERGEFORMAT </w:instrText>
                    </w:r>
                    <w:r>
                      <w:fldChar w:fldCharType="separate"/>
                    </w:r>
                    <w:r>
                      <w:t>1</w:t>
                    </w:r>
                    <w:r>
                      <w:fldChar w:fldCharType="end"/>
                    </w:r>
                  </w:p>
                </w:txbxContent>
              </v:textbox>
            </v:shape>
          </w:pict>
        </mc:Fallback>
      </mc:AlternateContent>
    </w:r>
    <w:r>
      <w:rPr>
        <w:rFonts w:ascii="宋体" w:hAnsi="宋体" w:eastAsia="宋体" w:cs="宋体"/>
        <w:spacing w:val="-18"/>
        <w:sz w:val="31"/>
        <w:szCs w:val="31"/>
        <w14:textOutline w14:w="5793" w14:cap="sq" w14:cmpd="sng">
          <w14:solidFill>
            <w14:srgbClr w14:val="000000"/>
          </w14:solidFill>
          <w14:prstDash w14:val="solid"/>
          <w14:bevel/>
        </w14:textOutline>
      </w:rPr>
      <w:t>202</w:t>
    </w:r>
    <w:r>
      <w:rPr>
        <w:rFonts w:hint="eastAsia" w:ascii="宋体" w:hAnsi="宋体" w:eastAsia="宋体" w:cs="宋体"/>
        <w:spacing w:val="-18"/>
        <w:sz w:val="31"/>
        <w:szCs w:val="31"/>
        <w:lang w:val="en-US" w:eastAsia="zh-CN"/>
        <w14:textOutline w14:w="5793" w14:cap="sq" w14:cmpd="sng">
          <w14:solidFill>
            <w14:srgbClr w14:val="000000"/>
          </w14:solidFill>
          <w14:prstDash w14:val="solid"/>
          <w14:bevel/>
        </w14:textOutline>
      </w:rPr>
      <w:t>6</w:t>
    </w:r>
    <w:r>
      <w:rPr>
        <w:rFonts w:ascii="宋体" w:hAnsi="宋体" w:eastAsia="宋体" w:cs="宋体"/>
        <w:spacing w:val="-18"/>
        <w:sz w:val="31"/>
        <w:szCs w:val="31"/>
      </w:rPr>
      <w:t xml:space="preserve"> </w:t>
    </w:r>
    <w:r>
      <w:rPr>
        <w:rFonts w:ascii="宋体" w:hAnsi="宋体" w:eastAsia="宋体" w:cs="宋体"/>
        <w:spacing w:val="-18"/>
        <w:sz w:val="31"/>
        <w:szCs w:val="31"/>
        <w14:textOutline w14:w="5793" w14:cap="sq" w14:cmpd="sng">
          <w14:solidFill>
            <w14:srgbClr w14:val="000000"/>
          </w14:solidFill>
          <w14:prstDash w14:val="solid"/>
          <w14:bevel/>
        </w14:textOutline>
      </w:rPr>
      <w:t>年</w:t>
    </w:r>
    <w:r>
      <w:rPr>
        <w:rFonts w:ascii="宋体" w:hAnsi="宋体" w:eastAsia="宋体" w:cs="宋体"/>
        <w:spacing w:val="-18"/>
        <w:sz w:val="31"/>
        <w:szCs w:val="31"/>
      </w:rPr>
      <w:t xml:space="preserve"> </w:t>
    </w:r>
    <w:r>
      <w:rPr>
        <w:rFonts w:hint="eastAsia" w:ascii="宋体" w:hAnsi="宋体" w:eastAsia="宋体" w:cs="宋体"/>
        <w:spacing w:val="-18"/>
        <w:sz w:val="31"/>
        <w:szCs w:val="31"/>
        <w:lang w:val="en-US" w:eastAsia="zh-CN"/>
        <w14:textOutline w14:w="5793" w14:cap="sq" w14:cmpd="sng">
          <w14:solidFill>
            <w14:srgbClr w14:val="000000"/>
          </w14:solidFill>
          <w14:prstDash w14:val="solid"/>
          <w14:bevel/>
        </w14:textOutline>
      </w:rPr>
      <w:t>1</w:t>
    </w:r>
    <w:r>
      <w:rPr>
        <w:rFonts w:ascii="宋体" w:hAnsi="宋体" w:eastAsia="宋体" w:cs="宋体"/>
        <w:spacing w:val="-18"/>
        <w:sz w:val="31"/>
        <w:szCs w:val="31"/>
      </w:rPr>
      <w:t xml:space="preserve"> </w:t>
    </w:r>
    <w:r>
      <w:rPr>
        <w:rFonts w:ascii="宋体" w:hAnsi="宋体" w:eastAsia="宋体" w:cs="宋体"/>
        <w:spacing w:val="-17"/>
        <w:sz w:val="31"/>
        <w:szCs w:val="31"/>
        <w14:textOutline w14:w="5793" w14:cap="sq" w14:cmpd="sng">
          <w14:solidFill>
            <w14:srgbClr w14:val="000000"/>
          </w14:solidFill>
          <w14:prstDash w14:val="solid"/>
          <w14:bevel/>
        </w14:textOutline>
      </w:rPr>
      <w:t>月</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524EA3">
    <w:pPr>
      <w:spacing w:line="194" w:lineRule="auto"/>
      <w:ind w:left="3966"/>
      <w:rPr>
        <w:rFonts w:hint="eastAsia" w:ascii="Times New Roman" w:hAnsi="Times New Roman" w:eastAsia="宋体" w:cs="Times New Roman"/>
        <w:sz w:val="20"/>
        <w:szCs w:val="20"/>
        <w:lang w:val="en-US" w:eastAsia="zh-CN"/>
      </w:rPr>
    </w:pPr>
    <w:r>
      <w:rPr>
        <w:rFonts w:hint="default"/>
        <w:sz w:val="20"/>
        <w:lang w:val="en-US"/>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CA50E0">
                          <w:pPr>
                            <w:pStyle w:val="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68CA50E0">
                    <w:pPr>
                      <w:pStyle w:val="3"/>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4"/>
      <w:suff w:val="nothing"/>
      <w:lvlText w:val="%1　"/>
      <w:lvlJc w:val="left"/>
      <w:rPr>
        <w:rFonts w:hint="eastAsia" w:ascii="黑体" w:hAnsi="Times New Roman" w:eastAsia="黑体" w:cs="Times New Roman"/>
        <w:b w:val="0"/>
        <w:i w:val="0"/>
        <w:color w:val="000000"/>
        <w:sz w:val="21"/>
        <w:szCs w:val="21"/>
      </w:rPr>
    </w:lvl>
    <w:lvl w:ilvl="1" w:tentative="0">
      <w:start w:val="1"/>
      <w:numFmt w:val="decimal"/>
      <w:pStyle w:val="15"/>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17"/>
      <w:suff w:val="nothing"/>
      <w:lvlText w:val="%1.%2.%3　"/>
      <w:lvlJc w:val="left"/>
      <w:pPr>
        <w:ind w:left="0"/>
      </w:pPr>
      <w:rPr>
        <w:rFonts w:hint="eastAsia" w:ascii="黑体" w:hAnsi="Times New Roman" w:eastAsia="黑体" w:cs="Times New Roman"/>
        <w:b w:val="0"/>
        <w:i w:val="0"/>
        <w:sz w:val="21"/>
      </w:rPr>
    </w:lvl>
    <w:lvl w:ilvl="3" w:tentative="0">
      <w:start w:val="1"/>
      <w:numFmt w:val="decimal"/>
      <w:suff w:val="nothing"/>
      <w:lvlText w:val="%1.%2.%3.%4　"/>
      <w:lvlJc w:val="left"/>
      <w:rPr>
        <w:rFonts w:hint="eastAsia" w:ascii="黑体" w:hAnsi="Times New Roman" w:eastAsia="黑体" w:cs="Times New Roman"/>
        <w:b w:val="0"/>
        <w:i w:val="0"/>
        <w:sz w:val="21"/>
      </w:rPr>
    </w:lvl>
    <w:lvl w:ilvl="4" w:tentative="0">
      <w:start w:val="1"/>
      <w:numFmt w:val="decimal"/>
      <w:suff w:val="nothing"/>
      <w:lvlText w:val="%1.%2.%3.%4.%5　"/>
      <w:lvlJc w:val="left"/>
      <w:rPr>
        <w:rFonts w:hint="eastAsia" w:ascii="黑体" w:hAnsi="Times New Roman" w:eastAsia="黑体" w:cs="Times New Roman"/>
        <w:b w:val="0"/>
        <w:i w:val="0"/>
        <w:sz w:val="21"/>
      </w:rPr>
    </w:lvl>
    <w:lvl w:ilvl="5" w:tentative="0">
      <w:start w:val="1"/>
      <w:numFmt w:val="decimal"/>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Y2VhOWUyYTU2ZjgyMDUxYTAzMjYwOGI1MWIxM2M3NzMifQ=="/>
    <w:docVar w:name="KSO_WPS_MARK_KEY" w:val="613b9e65-b1ff-4799-9612-43d0d32e2740"/>
  </w:docVars>
  <w:rsids>
    <w:rsidRoot w:val="00000000"/>
    <w:rsid w:val="003F23CE"/>
    <w:rsid w:val="004B2B21"/>
    <w:rsid w:val="00DB6195"/>
    <w:rsid w:val="010F7FF3"/>
    <w:rsid w:val="027125E7"/>
    <w:rsid w:val="027F4D04"/>
    <w:rsid w:val="02816CCE"/>
    <w:rsid w:val="030E72CB"/>
    <w:rsid w:val="032A2EC2"/>
    <w:rsid w:val="03547F3F"/>
    <w:rsid w:val="037979A5"/>
    <w:rsid w:val="03AC64F3"/>
    <w:rsid w:val="03C07382"/>
    <w:rsid w:val="0442423B"/>
    <w:rsid w:val="04510922"/>
    <w:rsid w:val="04CB1B3B"/>
    <w:rsid w:val="051931EE"/>
    <w:rsid w:val="057C5921"/>
    <w:rsid w:val="05BB24F7"/>
    <w:rsid w:val="063D115E"/>
    <w:rsid w:val="06863050"/>
    <w:rsid w:val="068B011B"/>
    <w:rsid w:val="069D6495"/>
    <w:rsid w:val="06E4782C"/>
    <w:rsid w:val="06F07F7E"/>
    <w:rsid w:val="072D2F81"/>
    <w:rsid w:val="07500A1D"/>
    <w:rsid w:val="07691ADF"/>
    <w:rsid w:val="07827705"/>
    <w:rsid w:val="07D371C1"/>
    <w:rsid w:val="08030185"/>
    <w:rsid w:val="08585DDB"/>
    <w:rsid w:val="08A90D2D"/>
    <w:rsid w:val="08C276F9"/>
    <w:rsid w:val="08FA1862"/>
    <w:rsid w:val="09E42059"/>
    <w:rsid w:val="0AD61B81"/>
    <w:rsid w:val="0B460AB5"/>
    <w:rsid w:val="0B9510F4"/>
    <w:rsid w:val="0B995089"/>
    <w:rsid w:val="0BB91287"/>
    <w:rsid w:val="0BFF2A12"/>
    <w:rsid w:val="0C8353F1"/>
    <w:rsid w:val="0C8E53E0"/>
    <w:rsid w:val="0D611BD6"/>
    <w:rsid w:val="0D816755"/>
    <w:rsid w:val="0D9D24E2"/>
    <w:rsid w:val="0E6F3E7F"/>
    <w:rsid w:val="0EBE6BB4"/>
    <w:rsid w:val="0F7D25CB"/>
    <w:rsid w:val="0FA7374C"/>
    <w:rsid w:val="106D43EE"/>
    <w:rsid w:val="10E02E12"/>
    <w:rsid w:val="10E8616A"/>
    <w:rsid w:val="10F425E3"/>
    <w:rsid w:val="128F2D41"/>
    <w:rsid w:val="12EC0194"/>
    <w:rsid w:val="134E20A5"/>
    <w:rsid w:val="13642534"/>
    <w:rsid w:val="138228A6"/>
    <w:rsid w:val="13FD3CDB"/>
    <w:rsid w:val="142E0338"/>
    <w:rsid w:val="148D505F"/>
    <w:rsid w:val="14A14FAE"/>
    <w:rsid w:val="14B44CE1"/>
    <w:rsid w:val="14BE7FBF"/>
    <w:rsid w:val="14CF38C9"/>
    <w:rsid w:val="14D233B9"/>
    <w:rsid w:val="14FA2500"/>
    <w:rsid w:val="15046FC8"/>
    <w:rsid w:val="1548367B"/>
    <w:rsid w:val="15595889"/>
    <w:rsid w:val="156009C5"/>
    <w:rsid w:val="157E709D"/>
    <w:rsid w:val="15964EF7"/>
    <w:rsid w:val="15A703A2"/>
    <w:rsid w:val="16CD1290"/>
    <w:rsid w:val="16F5513D"/>
    <w:rsid w:val="17084E70"/>
    <w:rsid w:val="17AA5F28"/>
    <w:rsid w:val="17B648CC"/>
    <w:rsid w:val="17BD3EAD"/>
    <w:rsid w:val="18B03A11"/>
    <w:rsid w:val="18CD6371"/>
    <w:rsid w:val="1934019F"/>
    <w:rsid w:val="19E576EB"/>
    <w:rsid w:val="1A8E38DF"/>
    <w:rsid w:val="1AA66E7A"/>
    <w:rsid w:val="1B560B56"/>
    <w:rsid w:val="1B574618"/>
    <w:rsid w:val="1B8319A3"/>
    <w:rsid w:val="1BB83309"/>
    <w:rsid w:val="1C255AE2"/>
    <w:rsid w:val="1CB3762C"/>
    <w:rsid w:val="1CCB706C"/>
    <w:rsid w:val="1CF77E61"/>
    <w:rsid w:val="1D0C4F8F"/>
    <w:rsid w:val="1D306ECF"/>
    <w:rsid w:val="1D990F18"/>
    <w:rsid w:val="1DA17DCD"/>
    <w:rsid w:val="1DB21FDA"/>
    <w:rsid w:val="1DCD66DA"/>
    <w:rsid w:val="1E191C11"/>
    <w:rsid w:val="1F3638AE"/>
    <w:rsid w:val="1FB12589"/>
    <w:rsid w:val="1FB43DE7"/>
    <w:rsid w:val="1FCD4EA9"/>
    <w:rsid w:val="1FE521F3"/>
    <w:rsid w:val="208F215E"/>
    <w:rsid w:val="209F3102"/>
    <w:rsid w:val="20E56222"/>
    <w:rsid w:val="21E40288"/>
    <w:rsid w:val="22122D4F"/>
    <w:rsid w:val="2297354C"/>
    <w:rsid w:val="23700025"/>
    <w:rsid w:val="24172B97"/>
    <w:rsid w:val="243E6375"/>
    <w:rsid w:val="2466767A"/>
    <w:rsid w:val="24822706"/>
    <w:rsid w:val="24D26ABE"/>
    <w:rsid w:val="24FF5263"/>
    <w:rsid w:val="25315EDA"/>
    <w:rsid w:val="255D6CCF"/>
    <w:rsid w:val="25706A02"/>
    <w:rsid w:val="25841ED2"/>
    <w:rsid w:val="25B76183"/>
    <w:rsid w:val="25C476C6"/>
    <w:rsid w:val="25C7133B"/>
    <w:rsid w:val="25D86356"/>
    <w:rsid w:val="25EF3DCB"/>
    <w:rsid w:val="2604287D"/>
    <w:rsid w:val="26170C2C"/>
    <w:rsid w:val="26422CDB"/>
    <w:rsid w:val="27565784"/>
    <w:rsid w:val="279F35CF"/>
    <w:rsid w:val="28312EF3"/>
    <w:rsid w:val="28537F15"/>
    <w:rsid w:val="28862099"/>
    <w:rsid w:val="294C017B"/>
    <w:rsid w:val="29746395"/>
    <w:rsid w:val="298A3E0B"/>
    <w:rsid w:val="29E90B31"/>
    <w:rsid w:val="2A2A6513"/>
    <w:rsid w:val="2ABE5B1A"/>
    <w:rsid w:val="2B084FE7"/>
    <w:rsid w:val="2B1971F4"/>
    <w:rsid w:val="2B2F4C6A"/>
    <w:rsid w:val="2B5841C1"/>
    <w:rsid w:val="2C0B2C64"/>
    <w:rsid w:val="2C4B2398"/>
    <w:rsid w:val="2C790D48"/>
    <w:rsid w:val="2CDF1BD1"/>
    <w:rsid w:val="2CF33A75"/>
    <w:rsid w:val="2D23435A"/>
    <w:rsid w:val="2D2F52EB"/>
    <w:rsid w:val="2D42600A"/>
    <w:rsid w:val="2D83304B"/>
    <w:rsid w:val="2D9E7E85"/>
    <w:rsid w:val="2DAC25A2"/>
    <w:rsid w:val="2E717347"/>
    <w:rsid w:val="2EE47B19"/>
    <w:rsid w:val="2FE14059"/>
    <w:rsid w:val="2FF65D56"/>
    <w:rsid w:val="303D5733"/>
    <w:rsid w:val="303F5DF3"/>
    <w:rsid w:val="309D4424"/>
    <w:rsid w:val="31293F09"/>
    <w:rsid w:val="31436D79"/>
    <w:rsid w:val="318C7576"/>
    <w:rsid w:val="31D420C7"/>
    <w:rsid w:val="320F75A3"/>
    <w:rsid w:val="323E5792"/>
    <w:rsid w:val="3240150B"/>
    <w:rsid w:val="3277170D"/>
    <w:rsid w:val="32C1089D"/>
    <w:rsid w:val="331A1D5C"/>
    <w:rsid w:val="33977850"/>
    <w:rsid w:val="33BE302F"/>
    <w:rsid w:val="33DB598F"/>
    <w:rsid w:val="342033A2"/>
    <w:rsid w:val="34952A5F"/>
    <w:rsid w:val="356B2D42"/>
    <w:rsid w:val="360848E6"/>
    <w:rsid w:val="360A255B"/>
    <w:rsid w:val="364315C9"/>
    <w:rsid w:val="3667175C"/>
    <w:rsid w:val="368D6CE8"/>
    <w:rsid w:val="36BA5D2F"/>
    <w:rsid w:val="3757357E"/>
    <w:rsid w:val="375A4E1C"/>
    <w:rsid w:val="382B67B9"/>
    <w:rsid w:val="38591578"/>
    <w:rsid w:val="385C2E16"/>
    <w:rsid w:val="38873E08"/>
    <w:rsid w:val="38AC78FA"/>
    <w:rsid w:val="38D64977"/>
    <w:rsid w:val="39161217"/>
    <w:rsid w:val="39445D84"/>
    <w:rsid w:val="39821610"/>
    <w:rsid w:val="39BF18AF"/>
    <w:rsid w:val="39F50E2C"/>
    <w:rsid w:val="3A2D6818"/>
    <w:rsid w:val="3A6366DE"/>
    <w:rsid w:val="3A715C28"/>
    <w:rsid w:val="3B1D688D"/>
    <w:rsid w:val="3B901EED"/>
    <w:rsid w:val="3DA6700D"/>
    <w:rsid w:val="3DFC4E7F"/>
    <w:rsid w:val="3E962F69"/>
    <w:rsid w:val="3E990920"/>
    <w:rsid w:val="3EA64DEB"/>
    <w:rsid w:val="3EC60291"/>
    <w:rsid w:val="3F3D74FE"/>
    <w:rsid w:val="3F7B0026"/>
    <w:rsid w:val="3F8A0269"/>
    <w:rsid w:val="3FB35A12"/>
    <w:rsid w:val="4004626D"/>
    <w:rsid w:val="406B3BF6"/>
    <w:rsid w:val="40DB2D27"/>
    <w:rsid w:val="416C40CA"/>
    <w:rsid w:val="41847666"/>
    <w:rsid w:val="41A2189A"/>
    <w:rsid w:val="41D103D1"/>
    <w:rsid w:val="432602A9"/>
    <w:rsid w:val="43C71A8C"/>
    <w:rsid w:val="443D1D4E"/>
    <w:rsid w:val="44D77AAC"/>
    <w:rsid w:val="44EB79FC"/>
    <w:rsid w:val="458D25B3"/>
    <w:rsid w:val="46386C71"/>
    <w:rsid w:val="474E6020"/>
    <w:rsid w:val="47BC567F"/>
    <w:rsid w:val="47D93B3C"/>
    <w:rsid w:val="480000CE"/>
    <w:rsid w:val="48111527"/>
    <w:rsid w:val="486E697A"/>
    <w:rsid w:val="48A00779"/>
    <w:rsid w:val="48D80297"/>
    <w:rsid w:val="48E21116"/>
    <w:rsid w:val="492E7FF1"/>
    <w:rsid w:val="49CE5B99"/>
    <w:rsid w:val="4A037596"/>
    <w:rsid w:val="4A280DAA"/>
    <w:rsid w:val="4A4756D4"/>
    <w:rsid w:val="4A525E27"/>
    <w:rsid w:val="4ADD1B95"/>
    <w:rsid w:val="4B166E55"/>
    <w:rsid w:val="4B541C7B"/>
    <w:rsid w:val="4B9213C5"/>
    <w:rsid w:val="4C3954F1"/>
    <w:rsid w:val="4C4D5E6A"/>
    <w:rsid w:val="4C543DEE"/>
    <w:rsid w:val="4C710FE5"/>
    <w:rsid w:val="4C713904"/>
    <w:rsid w:val="4C765DFD"/>
    <w:rsid w:val="4CAC181F"/>
    <w:rsid w:val="4F2E6E63"/>
    <w:rsid w:val="510734C7"/>
    <w:rsid w:val="521A547C"/>
    <w:rsid w:val="52AB2159"/>
    <w:rsid w:val="531D3476"/>
    <w:rsid w:val="54866DF9"/>
    <w:rsid w:val="54B716A8"/>
    <w:rsid w:val="55276447"/>
    <w:rsid w:val="55322ADD"/>
    <w:rsid w:val="55E22755"/>
    <w:rsid w:val="563034C0"/>
    <w:rsid w:val="568D41AC"/>
    <w:rsid w:val="573F38B2"/>
    <w:rsid w:val="57C33EC0"/>
    <w:rsid w:val="57C67C5C"/>
    <w:rsid w:val="57E04A72"/>
    <w:rsid w:val="58147B56"/>
    <w:rsid w:val="58737694"/>
    <w:rsid w:val="58E93DFA"/>
    <w:rsid w:val="593E5EF4"/>
    <w:rsid w:val="595C637A"/>
    <w:rsid w:val="59771406"/>
    <w:rsid w:val="59C363FA"/>
    <w:rsid w:val="5B33135D"/>
    <w:rsid w:val="5B3C2907"/>
    <w:rsid w:val="5BD82630"/>
    <w:rsid w:val="5BFE196B"/>
    <w:rsid w:val="5C054DC3"/>
    <w:rsid w:val="5C9F314E"/>
    <w:rsid w:val="5E151946"/>
    <w:rsid w:val="5E9465B6"/>
    <w:rsid w:val="5E9860A7"/>
    <w:rsid w:val="5F096FA4"/>
    <w:rsid w:val="5F1A2F60"/>
    <w:rsid w:val="5FD92C57"/>
    <w:rsid w:val="60A30D33"/>
    <w:rsid w:val="62894684"/>
    <w:rsid w:val="62AC2121"/>
    <w:rsid w:val="63133F4E"/>
    <w:rsid w:val="63181564"/>
    <w:rsid w:val="63D7141F"/>
    <w:rsid w:val="64041AE8"/>
    <w:rsid w:val="64175CC0"/>
    <w:rsid w:val="641E2BAA"/>
    <w:rsid w:val="64D4595F"/>
    <w:rsid w:val="64F97173"/>
    <w:rsid w:val="651D5558"/>
    <w:rsid w:val="65A2780B"/>
    <w:rsid w:val="65A90B99"/>
    <w:rsid w:val="65C41C9E"/>
    <w:rsid w:val="65E816C2"/>
    <w:rsid w:val="66303069"/>
    <w:rsid w:val="66763171"/>
    <w:rsid w:val="669C425A"/>
    <w:rsid w:val="66C57C55"/>
    <w:rsid w:val="673B1CC5"/>
    <w:rsid w:val="6740552D"/>
    <w:rsid w:val="675863D3"/>
    <w:rsid w:val="6764121C"/>
    <w:rsid w:val="67F04806"/>
    <w:rsid w:val="67FD69EA"/>
    <w:rsid w:val="682B7F8C"/>
    <w:rsid w:val="68751207"/>
    <w:rsid w:val="68AF296B"/>
    <w:rsid w:val="68BC6E36"/>
    <w:rsid w:val="68E7605B"/>
    <w:rsid w:val="693C131D"/>
    <w:rsid w:val="694F1A58"/>
    <w:rsid w:val="697F233D"/>
    <w:rsid w:val="69823BDB"/>
    <w:rsid w:val="6A050368"/>
    <w:rsid w:val="6A0E1913"/>
    <w:rsid w:val="6A4D7253"/>
    <w:rsid w:val="6A723C50"/>
    <w:rsid w:val="6A835E5D"/>
    <w:rsid w:val="6B0F5943"/>
    <w:rsid w:val="6B3B6738"/>
    <w:rsid w:val="6C0D1BA5"/>
    <w:rsid w:val="6CC8224D"/>
    <w:rsid w:val="6CDF3B79"/>
    <w:rsid w:val="6CE150BD"/>
    <w:rsid w:val="6CF52916"/>
    <w:rsid w:val="6CFC3CA5"/>
    <w:rsid w:val="6D3B47CD"/>
    <w:rsid w:val="6DE035C6"/>
    <w:rsid w:val="6DE24C48"/>
    <w:rsid w:val="6ED053E9"/>
    <w:rsid w:val="6ED749C9"/>
    <w:rsid w:val="6EEB3FD1"/>
    <w:rsid w:val="6F800F2B"/>
    <w:rsid w:val="701D28B0"/>
    <w:rsid w:val="70282ACF"/>
    <w:rsid w:val="7047792D"/>
    <w:rsid w:val="70904E30"/>
    <w:rsid w:val="70CC398E"/>
    <w:rsid w:val="711C66C3"/>
    <w:rsid w:val="717958C4"/>
    <w:rsid w:val="71901831"/>
    <w:rsid w:val="723D02ED"/>
    <w:rsid w:val="73180D7C"/>
    <w:rsid w:val="731B1D6B"/>
    <w:rsid w:val="73B9469D"/>
    <w:rsid w:val="73C6500C"/>
    <w:rsid w:val="74213FF1"/>
    <w:rsid w:val="749F7E25"/>
    <w:rsid w:val="752C0E9F"/>
    <w:rsid w:val="753A3E43"/>
    <w:rsid w:val="75F757C5"/>
    <w:rsid w:val="770C2D36"/>
    <w:rsid w:val="77F4039A"/>
    <w:rsid w:val="782567A5"/>
    <w:rsid w:val="78615304"/>
    <w:rsid w:val="787D038F"/>
    <w:rsid w:val="78F2388C"/>
    <w:rsid w:val="794B2E8D"/>
    <w:rsid w:val="7A081EDB"/>
    <w:rsid w:val="7A342CD0"/>
    <w:rsid w:val="7AA17C39"/>
    <w:rsid w:val="7AE75F94"/>
    <w:rsid w:val="7AF81F4F"/>
    <w:rsid w:val="7B29035B"/>
    <w:rsid w:val="7B38234C"/>
    <w:rsid w:val="7B42766E"/>
    <w:rsid w:val="7B537186"/>
    <w:rsid w:val="7B7E4636"/>
    <w:rsid w:val="7B9F23CB"/>
    <w:rsid w:val="7BAC2D3A"/>
    <w:rsid w:val="7BDC53CD"/>
    <w:rsid w:val="7BF85F7F"/>
    <w:rsid w:val="7D1206C6"/>
    <w:rsid w:val="7D7121DF"/>
    <w:rsid w:val="7DC600E3"/>
    <w:rsid w:val="7E3C65F7"/>
    <w:rsid w:val="7E696CC0"/>
    <w:rsid w:val="7E97708B"/>
    <w:rsid w:val="7F2257ED"/>
    <w:rsid w:val="7F686F7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Plain Text"/>
    <w:basedOn w:val="1"/>
    <w:semiHidden/>
    <w:unhideWhenUsed/>
    <w:qFormat/>
    <w:uiPriority w:val="99"/>
    <w:rPr>
      <w:rFonts w:ascii="宋体" w:hAnsi="Courier New"/>
    </w:rPr>
  </w:style>
  <w:style w:type="paragraph" w:styleId="3">
    <w:name w:val="footer"/>
    <w:basedOn w:val="1"/>
    <w:unhideWhenUsed/>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rPr>
      <w:sz w:val="24"/>
    </w:rPr>
  </w:style>
  <w:style w:type="paragraph" w:styleId="6">
    <w:name w:val="Title"/>
    <w:basedOn w:val="1"/>
    <w:next w:val="1"/>
    <w:qFormat/>
    <w:uiPriority w:val="10"/>
    <w:pPr>
      <w:spacing w:before="240" w:after="60"/>
      <w:jc w:val="center"/>
      <w:outlineLvl w:val="0"/>
    </w:pPr>
    <w:rPr>
      <w:rFonts w:ascii="Arial" w:hAnsi="Arial"/>
      <w:b/>
      <w:sz w:val="32"/>
    </w:rPr>
  </w:style>
  <w:style w:type="table" w:styleId="8">
    <w:name w:val="Table Grid"/>
    <w:basedOn w:val="7"/>
    <w:qFormat/>
    <w:uiPriority w:val="5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0">
    <w:name w:val="Strong"/>
    <w:basedOn w:val="9"/>
    <w:qFormat/>
    <w:uiPriority w:val="0"/>
    <w:rPr>
      <w:b/>
    </w:rPr>
  </w:style>
  <w:style w:type="character" w:styleId="11">
    <w:name w:val="Hyperlink"/>
    <w:basedOn w:val="9"/>
    <w:qFormat/>
    <w:uiPriority w:val="0"/>
    <w:rPr>
      <w:color w:val="0000FF"/>
      <w:u w:val="single"/>
    </w:rPr>
  </w:style>
  <w:style w:type="table" w:customStyle="1" w:styleId="12">
    <w:name w:val="Table Normal"/>
    <w:semiHidden/>
    <w:unhideWhenUsed/>
    <w:qFormat/>
    <w:uiPriority w:val="0"/>
    <w:tblPr>
      <w:tblCellMar>
        <w:top w:w="0" w:type="dxa"/>
        <w:left w:w="0" w:type="dxa"/>
        <w:bottom w:w="0" w:type="dxa"/>
        <w:right w:w="0" w:type="dxa"/>
      </w:tblCellMar>
    </w:tblPr>
  </w:style>
  <w:style w:type="paragraph" w:customStyle="1" w:styleId="1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4">
    <w:name w:val="章标题"/>
    <w:next w:val="13"/>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5">
    <w:name w:val="一级条标题"/>
    <w:next w:val="13"/>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styleId="16">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17">
    <w:name w:val="二级条标题"/>
    <w:basedOn w:val="15"/>
    <w:next w:val="13"/>
    <w:qFormat/>
    <w:uiPriority w:val="0"/>
    <w:pPr>
      <w:numPr>
        <w:ilvl w:val="2"/>
        <w:numId w:val="1"/>
      </w:numPr>
      <w:spacing w:before="50" w:after="50"/>
      <w:outlineLvl w:val="3"/>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21</Pages>
  <Words>4338</Words>
  <Characters>4630</Characters>
  <TotalTime>0</TotalTime>
  <ScaleCrop>false</ScaleCrop>
  <LinksUpToDate>false</LinksUpToDate>
  <CharactersWithSpaces>4696</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2023-07-05T17:12:00Z</dcterms:created>
  <dc:creator>Administrator</dc:creator>
  <cp:lastModifiedBy>liuning</cp:lastModifiedBy>
  <dcterms:modified xsi:type="dcterms:W3CDTF">2026-03-19T02:39:11Z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2025-06-05T19:40:14Z</vt:filetime>
  </property>
  <property fmtid="{D5CDD505-2E9C-101B-9397-08002B2CF9AE}" pid="4" name="KSOProductBuildVer">
    <vt:lpwstr>2052-12.1.0.25225</vt:lpwstr>
  </property>
  <property fmtid="{D5CDD505-2E9C-101B-9397-08002B2CF9AE}" pid="5" name="ICV">
    <vt:lpwstr>52C6ADDD98944B51BD147D069777FECE_13</vt:lpwstr>
  </property>
  <property fmtid="{D5CDD505-2E9C-101B-9397-08002B2CF9AE}" pid="6" name="KSOTemplateDocerSaveRecord">
    <vt:lpwstr>eyJoZGlkIjoiNDY1YjJiMzMwNTI2MzI4MTc3NjAxNDQ0ZDFjYTQ4MmIiLCJ1c2VySWQiOiIzNDY2OTc3NTQifQ==</vt:lpwstr>
  </property>
</Properties>
</file>